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5FC0" w14:textId="0AD05B00" w:rsidR="00E815BC" w:rsidRPr="00F64D3C" w:rsidRDefault="00E815BC" w:rsidP="00E42D66">
      <w:pPr>
        <w:spacing w:line="360" w:lineRule="auto"/>
        <w:rPr>
          <w:rStyle w:val="Ttulodellibro"/>
        </w:rPr>
      </w:pPr>
      <w:bookmarkStart w:id="0" w:name="_GoBack"/>
      <w:bookmarkEnd w:id="0"/>
    </w:p>
    <w:p w14:paraId="04100513" w14:textId="0B5FF579" w:rsidR="006E77F1" w:rsidRPr="001C31EF" w:rsidRDefault="00F64D3C" w:rsidP="00E42D66">
      <w:pPr>
        <w:spacing w:line="360" w:lineRule="auto"/>
        <w:jc w:val="center"/>
        <w:rPr>
          <w:rStyle w:val="Ttulodellibro"/>
          <w:rFonts w:ascii="Times New Roman" w:hAnsi="Times New Roman"/>
        </w:rPr>
      </w:pPr>
      <w:r>
        <w:rPr>
          <w:rStyle w:val="Ttulodellibro"/>
          <w:rFonts w:ascii="Times New Roman" w:hAnsi="Times New Roman"/>
        </w:rPr>
        <w:t>GUÍA DE PREPARACIÓN ARTÍCULOS DE INVESTIGACIÓN</w:t>
      </w:r>
    </w:p>
    <w:p w14:paraId="759F4AFB" w14:textId="2C941F11" w:rsidR="00E815BC" w:rsidRPr="001C31EF" w:rsidRDefault="00DD6E62" w:rsidP="00E42D66">
      <w:pPr>
        <w:spacing w:line="360" w:lineRule="auto"/>
        <w:jc w:val="center"/>
        <w:rPr>
          <w:rFonts w:ascii="Times New Roman" w:hAnsi="Times New Roman"/>
          <w:b/>
          <w:bCs/>
          <w:i/>
          <w:smallCaps/>
          <w:spacing w:val="5"/>
        </w:rPr>
      </w:pPr>
      <w:r w:rsidRPr="001C31EF">
        <w:rPr>
          <w:rStyle w:val="Ttulodellibro"/>
          <w:rFonts w:ascii="Times New Roman" w:hAnsi="Times New Roman"/>
          <w:i/>
        </w:rPr>
        <w:t>Procesos</w:t>
      </w:r>
      <w:r w:rsidR="009D451F">
        <w:rPr>
          <w:rStyle w:val="Ttulodellibro"/>
          <w:rFonts w:ascii="Times New Roman" w:hAnsi="Times New Roman"/>
          <w:i/>
        </w:rPr>
        <w:t>.</w:t>
      </w:r>
      <w:r w:rsidRPr="001C31EF">
        <w:rPr>
          <w:rStyle w:val="Ttulodellibro"/>
          <w:rFonts w:ascii="Times New Roman" w:hAnsi="Times New Roman"/>
          <w:i/>
        </w:rPr>
        <w:t xml:space="preserve"> </w:t>
      </w:r>
      <w:r w:rsidR="00B125B2">
        <w:rPr>
          <w:rStyle w:val="Ttulodellibro"/>
          <w:rFonts w:ascii="Times New Roman" w:hAnsi="Times New Roman"/>
          <w:i/>
        </w:rPr>
        <w:t>R</w:t>
      </w:r>
      <w:r w:rsidRPr="001C31EF">
        <w:rPr>
          <w:rStyle w:val="Ttulodellibro"/>
          <w:rFonts w:ascii="Times New Roman" w:hAnsi="Times New Roman"/>
          <w:i/>
        </w:rPr>
        <w:t>evista ecuatoriana de historia</w:t>
      </w:r>
    </w:p>
    <w:p w14:paraId="049FC5CA" w14:textId="77777777" w:rsidR="00E815BC" w:rsidRPr="00F64D3C" w:rsidRDefault="00E815BC" w:rsidP="00E42D66">
      <w:pPr>
        <w:spacing w:line="360" w:lineRule="auto"/>
        <w:rPr>
          <w:rFonts w:ascii="Times New Roman" w:hAnsi="Times New Roman"/>
          <w:b/>
        </w:rPr>
      </w:pPr>
    </w:p>
    <w:p w14:paraId="00739567" w14:textId="77777777" w:rsidR="00530400" w:rsidRPr="001C31EF" w:rsidRDefault="00DD6E62" w:rsidP="00E42D66">
      <w:pPr>
        <w:spacing w:line="360" w:lineRule="auto"/>
        <w:jc w:val="center"/>
        <w:rPr>
          <w:rFonts w:ascii="Times New Roman" w:hAnsi="Times New Roman"/>
          <w:b/>
        </w:rPr>
      </w:pPr>
      <w:r w:rsidRPr="001C31EF">
        <w:rPr>
          <w:rFonts w:ascii="Times New Roman" w:hAnsi="Times New Roman"/>
          <w:b/>
        </w:rPr>
        <w:t>Normas para autores, pares anónimos y editores</w:t>
      </w:r>
    </w:p>
    <w:p w14:paraId="6D373AAD" w14:textId="77777777" w:rsidR="00687E3F" w:rsidRPr="001C31EF" w:rsidRDefault="00687E3F" w:rsidP="00E42D66">
      <w:pPr>
        <w:spacing w:line="360" w:lineRule="auto"/>
        <w:jc w:val="center"/>
        <w:rPr>
          <w:rFonts w:ascii="Times New Roman" w:hAnsi="Times New Roman"/>
          <w:b/>
        </w:rPr>
      </w:pPr>
    </w:p>
    <w:p w14:paraId="7AD2E9C5" w14:textId="77777777" w:rsidR="00041586" w:rsidRPr="001C31EF" w:rsidRDefault="0057050B" w:rsidP="00E42D66">
      <w:pPr>
        <w:spacing w:line="360" w:lineRule="auto"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1</w:t>
      </w:r>
      <w:r w:rsidR="00530400" w:rsidRPr="001C31EF">
        <w:rPr>
          <w:rFonts w:ascii="Times New Roman" w:hAnsi="Times New Roman"/>
          <w:i/>
        </w:rPr>
        <w:t xml:space="preserve">) </w:t>
      </w:r>
      <w:r w:rsidR="002B543D" w:rsidRPr="001C31EF">
        <w:rPr>
          <w:rFonts w:ascii="Times New Roman" w:hAnsi="Times New Roman"/>
          <w:i/>
        </w:rPr>
        <w:t>Sobre</w:t>
      </w:r>
      <w:r w:rsidR="00530400" w:rsidRPr="001C31EF">
        <w:rPr>
          <w:rFonts w:ascii="Times New Roman" w:hAnsi="Times New Roman"/>
          <w:i/>
        </w:rPr>
        <w:t xml:space="preserve"> </w:t>
      </w:r>
      <w:r w:rsidR="00ED7925" w:rsidRPr="001C31EF">
        <w:rPr>
          <w:rFonts w:ascii="Times New Roman" w:hAnsi="Times New Roman"/>
          <w:i/>
        </w:rPr>
        <w:t>la presentación de</w:t>
      </w:r>
      <w:r w:rsidR="00004D3B" w:rsidRPr="001C31EF">
        <w:rPr>
          <w:rFonts w:ascii="Times New Roman" w:hAnsi="Times New Roman"/>
          <w:i/>
        </w:rPr>
        <w:t xml:space="preserve"> </w:t>
      </w:r>
      <w:r w:rsidR="00530400" w:rsidRPr="001C31EF">
        <w:rPr>
          <w:rFonts w:ascii="Times New Roman" w:hAnsi="Times New Roman"/>
          <w:i/>
        </w:rPr>
        <w:t>artículos:</w:t>
      </w:r>
    </w:p>
    <w:p w14:paraId="085F17BE" w14:textId="77777777" w:rsidR="002B543D" w:rsidRPr="001C31EF" w:rsidRDefault="00C50DA0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Se </w:t>
      </w:r>
      <w:r w:rsidR="00B3300E" w:rsidRPr="001C31EF">
        <w:rPr>
          <w:rFonts w:ascii="Times New Roman" w:hAnsi="Times New Roman"/>
        </w:rPr>
        <w:t>reciben</w:t>
      </w:r>
      <w:r w:rsidRPr="001C31EF">
        <w:rPr>
          <w:rFonts w:ascii="Times New Roman" w:hAnsi="Times New Roman"/>
        </w:rPr>
        <w:t xml:space="preserve"> artículos </w:t>
      </w:r>
      <w:r w:rsidR="00211203" w:rsidRPr="001C31EF">
        <w:rPr>
          <w:rFonts w:ascii="Times New Roman" w:hAnsi="Times New Roman"/>
        </w:rPr>
        <w:t xml:space="preserve">de investigación, </w:t>
      </w:r>
      <w:r w:rsidRPr="001C31EF">
        <w:rPr>
          <w:rFonts w:ascii="Times New Roman" w:hAnsi="Times New Roman"/>
        </w:rPr>
        <w:t xml:space="preserve">inéditos, en </w:t>
      </w:r>
      <w:r w:rsidR="00E815BC" w:rsidRPr="001C31EF">
        <w:rPr>
          <w:rFonts w:ascii="Times New Roman" w:hAnsi="Times New Roman"/>
        </w:rPr>
        <w:t>castellano</w:t>
      </w:r>
      <w:r w:rsidRPr="001C31EF">
        <w:rPr>
          <w:rFonts w:ascii="Times New Roman" w:hAnsi="Times New Roman"/>
        </w:rPr>
        <w:t xml:space="preserve">, </w:t>
      </w:r>
      <w:r w:rsidR="00211203" w:rsidRPr="001C31EF">
        <w:rPr>
          <w:rFonts w:ascii="Times New Roman" w:hAnsi="Times New Roman"/>
        </w:rPr>
        <w:t xml:space="preserve">y </w:t>
      </w:r>
      <w:r w:rsidR="002B543D" w:rsidRPr="001C31EF">
        <w:rPr>
          <w:rFonts w:ascii="Times New Roman" w:hAnsi="Times New Roman"/>
        </w:rPr>
        <w:t xml:space="preserve">cuyo contenido </w:t>
      </w:r>
      <w:r w:rsidR="00AA070D" w:rsidRPr="001C31EF">
        <w:rPr>
          <w:rFonts w:ascii="Times New Roman" w:hAnsi="Times New Roman"/>
        </w:rPr>
        <w:t>se inscribe</w:t>
      </w:r>
      <w:r w:rsidR="002C2CB0" w:rsidRPr="001C31EF">
        <w:rPr>
          <w:rFonts w:ascii="Times New Roman" w:hAnsi="Times New Roman"/>
        </w:rPr>
        <w:t xml:space="preserve"> en</w:t>
      </w:r>
      <w:r w:rsidR="002B543D" w:rsidRPr="001C31EF">
        <w:rPr>
          <w:rFonts w:ascii="Times New Roman" w:hAnsi="Times New Roman"/>
        </w:rPr>
        <w:t xml:space="preserve"> la descripción de las secciones </w:t>
      </w:r>
      <w:r w:rsidR="002B543D" w:rsidRPr="001C31EF">
        <w:rPr>
          <w:rFonts w:ascii="Times New Roman" w:hAnsi="Times New Roman"/>
          <w:i/>
        </w:rPr>
        <w:t>Estudios</w:t>
      </w:r>
      <w:r w:rsidR="002B543D" w:rsidRPr="001C31EF">
        <w:rPr>
          <w:rFonts w:ascii="Times New Roman" w:hAnsi="Times New Roman"/>
        </w:rPr>
        <w:t xml:space="preserve"> y </w:t>
      </w:r>
      <w:r w:rsidR="002B543D" w:rsidRPr="001C31EF">
        <w:rPr>
          <w:rFonts w:ascii="Times New Roman" w:hAnsi="Times New Roman"/>
          <w:i/>
        </w:rPr>
        <w:t>Debates</w:t>
      </w:r>
      <w:r w:rsidR="002B543D" w:rsidRPr="001C31EF">
        <w:rPr>
          <w:rFonts w:ascii="Times New Roman" w:hAnsi="Times New Roman"/>
        </w:rPr>
        <w:t xml:space="preserve">, incluida en </w:t>
      </w:r>
      <w:r w:rsidR="00E815BC" w:rsidRPr="001C31EF">
        <w:rPr>
          <w:rFonts w:ascii="Times New Roman" w:hAnsi="Times New Roman"/>
        </w:rPr>
        <w:t>la sección</w:t>
      </w:r>
      <w:r w:rsidR="002B543D" w:rsidRPr="001C31EF">
        <w:rPr>
          <w:rFonts w:ascii="Times New Roman" w:hAnsi="Times New Roman"/>
        </w:rPr>
        <w:t xml:space="preserve"> “Acerca de la revista”. </w:t>
      </w:r>
    </w:p>
    <w:p w14:paraId="431E7A29" w14:textId="77777777" w:rsidR="00041586" w:rsidRPr="001C31EF" w:rsidRDefault="00041586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Los textos presentados para publicación </w:t>
      </w:r>
      <w:r w:rsidR="00C50DA0" w:rsidRPr="001C31EF">
        <w:rPr>
          <w:rFonts w:ascii="Times New Roman" w:hAnsi="Times New Roman"/>
        </w:rPr>
        <w:t xml:space="preserve">no </w:t>
      </w:r>
      <w:r w:rsidR="003E0C63" w:rsidRPr="001C31EF">
        <w:rPr>
          <w:rFonts w:ascii="Times New Roman" w:hAnsi="Times New Roman"/>
        </w:rPr>
        <w:t>deben</w:t>
      </w:r>
      <w:r w:rsidRPr="001C31EF">
        <w:rPr>
          <w:rFonts w:ascii="Times New Roman" w:hAnsi="Times New Roman"/>
        </w:rPr>
        <w:t xml:space="preserve"> haber sido remitidos a ninguna otra publicación, de manera simultánea. Por lo tanto, se asume que están libres de compromisos editoriales. </w:t>
      </w:r>
    </w:p>
    <w:p w14:paraId="03416232" w14:textId="77777777" w:rsidR="002B543D" w:rsidRPr="001C31EF" w:rsidRDefault="00F53C97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No hay fechas específicas de recepción de trabajos para los números de </w:t>
      </w:r>
      <w:r w:rsidR="009920E5" w:rsidRPr="001C31EF">
        <w:rPr>
          <w:rFonts w:ascii="Times New Roman" w:hAnsi="Times New Roman"/>
        </w:rPr>
        <w:t xml:space="preserve">tema libre, </w:t>
      </w:r>
      <w:r w:rsidR="002B543D" w:rsidRPr="001C31EF">
        <w:rPr>
          <w:rFonts w:ascii="Times New Roman" w:hAnsi="Times New Roman"/>
        </w:rPr>
        <w:t xml:space="preserve">estos son procesados </w:t>
      </w:r>
      <w:r w:rsidR="003E0C63" w:rsidRPr="001C31EF">
        <w:rPr>
          <w:rFonts w:ascii="Times New Roman" w:hAnsi="Times New Roman"/>
        </w:rPr>
        <w:t xml:space="preserve">de acuerdo </w:t>
      </w:r>
      <w:r w:rsidR="009920E5" w:rsidRPr="001C31EF">
        <w:rPr>
          <w:rFonts w:ascii="Times New Roman" w:hAnsi="Times New Roman"/>
        </w:rPr>
        <w:t>con el</w:t>
      </w:r>
      <w:r w:rsidR="00947A1B" w:rsidRPr="001C31EF">
        <w:rPr>
          <w:rFonts w:ascii="Times New Roman" w:hAnsi="Times New Roman"/>
        </w:rPr>
        <w:t xml:space="preserve"> </w:t>
      </w:r>
      <w:r w:rsidR="00041586" w:rsidRPr="001C31EF">
        <w:rPr>
          <w:rFonts w:ascii="Times New Roman" w:hAnsi="Times New Roman"/>
        </w:rPr>
        <w:t xml:space="preserve">orden de </w:t>
      </w:r>
      <w:r w:rsidR="002C2CB0" w:rsidRPr="001C31EF">
        <w:rPr>
          <w:rFonts w:ascii="Times New Roman" w:hAnsi="Times New Roman"/>
        </w:rPr>
        <w:t>llegada</w:t>
      </w:r>
      <w:r w:rsidR="00E815BC" w:rsidRPr="001C31EF">
        <w:rPr>
          <w:rFonts w:ascii="Times New Roman" w:hAnsi="Times New Roman"/>
        </w:rPr>
        <w:t xml:space="preserve"> o según la invitación que se formule</w:t>
      </w:r>
      <w:r w:rsidR="00041586" w:rsidRPr="001C31EF">
        <w:rPr>
          <w:rFonts w:ascii="Times New Roman" w:hAnsi="Times New Roman"/>
        </w:rPr>
        <w:t xml:space="preserve">. </w:t>
      </w:r>
      <w:r w:rsidRPr="001C31EF">
        <w:rPr>
          <w:rFonts w:ascii="Times New Roman" w:hAnsi="Times New Roman"/>
        </w:rPr>
        <w:t>E</w:t>
      </w:r>
      <w:r w:rsidR="002D5F2A" w:rsidRPr="001C31EF">
        <w:rPr>
          <w:rFonts w:ascii="Times New Roman" w:hAnsi="Times New Roman"/>
        </w:rPr>
        <w:t xml:space="preserve">n cambio, el cronograma de </w:t>
      </w:r>
      <w:r w:rsidR="009920E5" w:rsidRPr="001C31EF">
        <w:rPr>
          <w:rFonts w:ascii="Times New Roman" w:hAnsi="Times New Roman"/>
        </w:rPr>
        <w:t>números monográficos</w:t>
      </w:r>
      <w:r w:rsidR="00C63957" w:rsidRPr="001C31EF">
        <w:rPr>
          <w:rFonts w:ascii="Times New Roman" w:hAnsi="Times New Roman"/>
        </w:rPr>
        <w:t xml:space="preserve"> </w:t>
      </w:r>
      <w:r w:rsidR="00555E7F" w:rsidRPr="001C31EF">
        <w:rPr>
          <w:rFonts w:ascii="Times New Roman" w:hAnsi="Times New Roman"/>
        </w:rPr>
        <w:t xml:space="preserve">se define </w:t>
      </w:r>
      <w:r w:rsidR="009920E5" w:rsidRPr="001C31EF">
        <w:rPr>
          <w:rFonts w:ascii="Times New Roman" w:hAnsi="Times New Roman"/>
        </w:rPr>
        <w:t>entre el editor</w:t>
      </w:r>
      <w:r w:rsidR="00E815BC" w:rsidRPr="001C31EF">
        <w:rPr>
          <w:rFonts w:ascii="Times New Roman" w:hAnsi="Times New Roman"/>
        </w:rPr>
        <w:t xml:space="preserve"> de </w:t>
      </w:r>
      <w:r w:rsidR="00E815BC" w:rsidRPr="001C31EF">
        <w:rPr>
          <w:rFonts w:ascii="Times New Roman" w:hAnsi="Times New Roman"/>
          <w:i/>
        </w:rPr>
        <w:t>Procesos</w:t>
      </w:r>
      <w:r w:rsidR="00E815BC" w:rsidRPr="001C31EF">
        <w:rPr>
          <w:rFonts w:ascii="Times New Roman" w:hAnsi="Times New Roman"/>
        </w:rPr>
        <w:t xml:space="preserve"> y </w:t>
      </w:r>
      <w:r w:rsidR="009920E5" w:rsidRPr="001C31EF">
        <w:rPr>
          <w:rFonts w:ascii="Times New Roman" w:hAnsi="Times New Roman"/>
        </w:rPr>
        <w:t xml:space="preserve">el coordinador del dossier. </w:t>
      </w:r>
    </w:p>
    <w:p w14:paraId="7E60CFD5" w14:textId="33641388" w:rsidR="00ED7925" w:rsidRPr="001C31EF" w:rsidRDefault="002C2CB0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autores de artículos y reseñas deben enviar sus trabajos por correo electrónico a la dirección procesos@uasb.edu.ec</w:t>
      </w:r>
      <w:r w:rsidR="004229A9" w:rsidRPr="001C31EF">
        <w:rPr>
          <w:rFonts w:ascii="Times New Roman" w:hAnsi="Times New Roman"/>
        </w:rPr>
        <w:t>.</w:t>
      </w:r>
      <w:r w:rsidRPr="001C31EF">
        <w:rPr>
          <w:rStyle w:val="Hipervnculo"/>
          <w:rFonts w:ascii="Times New Roman" w:hAnsi="Times New Roman"/>
          <w:color w:val="auto"/>
          <w:u w:val="none"/>
        </w:rPr>
        <w:t xml:space="preserve"> Además del artículo propuesto, se debe adjuntar un resumen en </w:t>
      </w:r>
      <w:r w:rsidR="00E815BC" w:rsidRPr="001C31EF">
        <w:rPr>
          <w:rStyle w:val="Hipervnculo"/>
          <w:rFonts w:ascii="Times New Roman" w:hAnsi="Times New Roman"/>
          <w:color w:val="auto"/>
          <w:u w:val="none"/>
        </w:rPr>
        <w:t>castellano</w:t>
      </w:r>
      <w:r w:rsidRPr="001C31EF">
        <w:rPr>
          <w:rStyle w:val="Hipervnculo"/>
          <w:rFonts w:ascii="Times New Roman" w:hAnsi="Times New Roman"/>
          <w:color w:val="auto"/>
          <w:u w:val="none"/>
        </w:rPr>
        <w:t xml:space="preserve"> en </w:t>
      </w:r>
      <w:r w:rsidR="00B75230" w:rsidRPr="001C31EF">
        <w:rPr>
          <w:rStyle w:val="Hipervnculo"/>
          <w:rFonts w:ascii="Times New Roman" w:hAnsi="Times New Roman"/>
          <w:color w:val="auto"/>
          <w:u w:val="none"/>
        </w:rPr>
        <w:t>100-150</w:t>
      </w:r>
      <w:r w:rsidRPr="001C31EF">
        <w:rPr>
          <w:rStyle w:val="Hipervnculo"/>
          <w:rFonts w:ascii="Times New Roman" w:hAnsi="Times New Roman"/>
          <w:color w:val="auto"/>
          <w:u w:val="none"/>
        </w:rPr>
        <w:t xml:space="preserve"> palabras, un listado de </w:t>
      </w:r>
      <w:r w:rsidR="00B75230" w:rsidRPr="001C31EF">
        <w:rPr>
          <w:rStyle w:val="Hipervnculo"/>
          <w:rFonts w:ascii="Times New Roman" w:hAnsi="Times New Roman"/>
          <w:color w:val="auto"/>
          <w:u w:val="none"/>
        </w:rPr>
        <w:t>ocho</w:t>
      </w:r>
      <w:r w:rsidRPr="001C31EF">
        <w:rPr>
          <w:rStyle w:val="Hipervnculo"/>
          <w:rFonts w:ascii="Times New Roman" w:hAnsi="Times New Roman"/>
          <w:color w:val="auto"/>
          <w:u w:val="none"/>
        </w:rPr>
        <w:t xml:space="preserve"> palabras clave, y los datos correspondientes al autor en </w:t>
      </w:r>
      <w:r w:rsidR="00B75230" w:rsidRPr="001C31EF">
        <w:rPr>
          <w:rStyle w:val="Hipervnculo"/>
          <w:rFonts w:ascii="Times New Roman" w:hAnsi="Times New Roman"/>
          <w:color w:val="auto"/>
          <w:u w:val="none"/>
        </w:rPr>
        <w:t>100-150</w:t>
      </w:r>
      <w:r w:rsidRPr="001C31EF">
        <w:rPr>
          <w:rStyle w:val="Hipervnculo"/>
          <w:rFonts w:ascii="Times New Roman" w:hAnsi="Times New Roman"/>
          <w:color w:val="auto"/>
          <w:u w:val="none"/>
        </w:rPr>
        <w:t xml:space="preserve"> palabras, incluyendo su dirección electrónica, títulos académicos obtenidos, filiación institucional, cargos actuales, </w:t>
      </w:r>
      <w:r w:rsidR="00B76EF3" w:rsidRPr="001C31EF">
        <w:rPr>
          <w:rStyle w:val="Hipervnculo"/>
          <w:rFonts w:ascii="Times New Roman" w:hAnsi="Times New Roman"/>
          <w:color w:val="auto"/>
          <w:u w:val="none"/>
        </w:rPr>
        <w:t xml:space="preserve">tópicos de investigación, </w:t>
      </w:r>
      <w:r w:rsidRPr="001C31EF">
        <w:rPr>
          <w:rStyle w:val="Hipervnculo"/>
          <w:rFonts w:ascii="Times New Roman" w:hAnsi="Times New Roman"/>
          <w:color w:val="auto"/>
          <w:u w:val="none"/>
        </w:rPr>
        <w:t>y últimas publicaciones</w:t>
      </w:r>
      <w:r w:rsidR="00B76EF3" w:rsidRPr="001C31EF">
        <w:rPr>
          <w:rStyle w:val="Hipervnculo"/>
          <w:rFonts w:ascii="Times New Roman" w:hAnsi="Times New Roman"/>
          <w:color w:val="auto"/>
          <w:u w:val="none"/>
        </w:rPr>
        <w:t>.</w:t>
      </w:r>
    </w:p>
    <w:p w14:paraId="63121D02" w14:textId="214E0F37" w:rsidR="00A6281E" w:rsidRDefault="00B75230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Los manuscritos presentados deben seguir las normas editoriales del Manual de Chicago Deusto (2013). Más adelante, en </w:t>
      </w:r>
      <w:r w:rsidR="00686EA9" w:rsidRPr="001C31EF">
        <w:rPr>
          <w:rFonts w:ascii="Times New Roman" w:hAnsi="Times New Roman"/>
        </w:rPr>
        <w:t>el</w:t>
      </w:r>
      <w:r w:rsidRPr="001C31EF">
        <w:rPr>
          <w:rFonts w:ascii="Times New Roman" w:hAnsi="Times New Roman"/>
        </w:rPr>
        <w:t xml:space="preserve"> apartado “</w:t>
      </w:r>
      <w:r w:rsidR="00686EA9" w:rsidRPr="001C31EF">
        <w:rPr>
          <w:rFonts w:ascii="Times New Roman" w:hAnsi="Times New Roman"/>
        </w:rPr>
        <w:t>Guía editorial</w:t>
      </w:r>
      <w:r w:rsidRPr="001C31EF">
        <w:rPr>
          <w:rFonts w:ascii="Times New Roman" w:hAnsi="Times New Roman"/>
        </w:rPr>
        <w:t xml:space="preserve">”, se incluyen ejemplos que ilustran estas pautas. </w:t>
      </w:r>
    </w:p>
    <w:p w14:paraId="4AAA7D68" w14:textId="10C4563E" w:rsidR="00894517" w:rsidRPr="001C31EF" w:rsidRDefault="00894517" w:rsidP="00E42D6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894517">
        <w:rPr>
          <w:rFonts w:ascii="Times New Roman" w:hAnsi="Times New Roman"/>
          <w:i/>
          <w:iCs/>
        </w:rPr>
        <w:t>Procesos. Revista Ecuatoriana de Historia</w:t>
      </w:r>
      <w:r>
        <w:rPr>
          <w:rFonts w:ascii="Times New Roman" w:hAnsi="Times New Roman"/>
        </w:rPr>
        <w:t xml:space="preserve"> no cobra tasas por envío de trabajos ni tampoco cuotas por la publicación de sus contribuciones (artículos y reseñas).</w:t>
      </w:r>
    </w:p>
    <w:p w14:paraId="48EFC598" w14:textId="77777777" w:rsidR="00687E3F" w:rsidRPr="001C31EF" w:rsidRDefault="00687E3F" w:rsidP="00E42D66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17C3954" w14:textId="77777777" w:rsidR="00041586" w:rsidRPr="001C31EF" w:rsidRDefault="0057050B" w:rsidP="00E42D66">
      <w:pPr>
        <w:spacing w:line="360" w:lineRule="auto"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2</w:t>
      </w:r>
      <w:r w:rsidR="00004D3B" w:rsidRPr="001C31EF">
        <w:rPr>
          <w:rFonts w:ascii="Times New Roman" w:hAnsi="Times New Roman"/>
          <w:i/>
        </w:rPr>
        <w:t xml:space="preserve">) </w:t>
      </w:r>
      <w:r w:rsidR="00F45B4B" w:rsidRPr="001C31EF">
        <w:rPr>
          <w:rFonts w:ascii="Times New Roman" w:hAnsi="Times New Roman"/>
          <w:i/>
        </w:rPr>
        <w:t>Obligaciones</w:t>
      </w:r>
      <w:r w:rsidR="00041586" w:rsidRPr="001C31EF">
        <w:rPr>
          <w:rFonts w:ascii="Times New Roman" w:hAnsi="Times New Roman"/>
          <w:i/>
        </w:rPr>
        <w:t xml:space="preserve"> de los autores</w:t>
      </w:r>
    </w:p>
    <w:p w14:paraId="05B00E95" w14:textId="77777777" w:rsidR="00041586" w:rsidRPr="001C31EF" w:rsidRDefault="00861CD8" w:rsidP="00E42D6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lastRenderedPageBreak/>
        <w:t xml:space="preserve">Al presentar </w:t>
      </w:r>
      <w:r w:rsidR="00625836" w:rsidRPr="001C31EF">
        <w:rPr>
          <w:rFonts w:ascii="Times New Roman" w:hAnsi="Times New Roman"/>
        </w:rPr>
        <w:t>un</w:t>
      </w:r>
      <w:r w:rsidRPr="001C31EF">
        <w:rPr>
          <w:rFonts w:ascii="Times New Roman" w:hAnsi="Times New Roman"/>
        </w:rPr>
        <w:t xml:space="preserve"> artículo</w:t>
      </w:r>
      <w:r w:rsidR="00625836" w:rsidRPr="001C31EF">
        <w:rPr>
          <w:rFonts w:ascii="Times New Roman" w:hAnsi="Times New Roman"/>
        </w:rPr>
        <w:t>,</w:t>
      </w:r>
      <w:r w:rsidRPr="001C31EF">
        <w:rPr>
          <w:rFonts w:ascii="Times New Roman" w:hAnsi="Times New Roman"/>
        </w:rPr>
        <w:t xml:space="preserve"> </w:t>
      </w:r>
      <w:r w:rsidR="00686EA9" w:rsidRPr="001C31EF">
        <w:rPr>
          <w:rFonts w:ascii="Times New Roman" w:hAnsi="Times New Roman"/>
        </w:rPr>
        <w:t>un</w:t>
      </w:r>
      <w:r w:rsidRPr="001C31EF">
        <w:rPr>
          <w:rFonts w:ascii="Times New Roman" w:hAnsi="Times New Roman"/>
        </w:rPr>
        <w:t xml:space="preserve"> autor </w:t>
      </w:r>
      <w:r w:rsidR="00041586" w:rsidRPr="001C31EF">
        <w:rPr>
          <w:rFonts w:ascii="Times New Roman" w:hAnsi="Times New Roman"/>
        </w:rPr>
        <w:t xml:space="preserve">declara que la autoría le pertenece íntegramente, y que respeta los derechos de propiedad intelectual de terceros. Si utiliza material </w:t>
      </w:r>
      <w:r w:rsidR="00B75230" w:rsidRPr="001C31EF">
        <w:rPr>
          <w:rFonts w:ascii="Times New Roman" w:hAnsi="Times New Roman"/>
        </w:rPr>
        <w:t>ajeno</w:t>
      </w:r>
      <w:r w:rsidR="00041586" w:rsidRPr="001C31EF">
        <w:rPr>
          <w:rFonts w:ascii="Times New Roman" w:hAnsi="Times New Roman"/>
        </w:rPr>
        <w:t xml:space="preserve"> (fotografías, cuadr</w:t>
      </w:r>
      <w:r w:rsidR="00687E3F" w:rsidRPr="001C31EF">
        <w:rPr>
          <w:rFonts w:ascii="Times New Roman" w:hAnsi="Times New Roman"/>
        </w:rPr>
        <w:t>os, mapas, gráficos en general)</w:t>
      </w:r>
      <w:r w:rsidR="00041586" w:rsidRPr="001C31EF">
        <w:rPr>
          <w:rFonts w:ascii="Times New Roman" w:hAnsi="Times New Roman"/>
        </w:rPr>
        <w:t xml:space="preserve"> debe incluir el crédito y la autorización legal respectiva. Al suscribir la autoría también declara que la investigación </w:t>
      </w:r>
      <w:r w:rsidR="00625836" w:rsidRPr="001C31EF">
        <w:rPr>
          <w:rFonts w:ascii="Times New Roman" w:hAnsi="Times New Roman"/>
        </w:rPr>
        <w:t>se condujo</w:t>
      </w:r>
      <w:r w:rsidR="00432326" w:rsidRPr="001C31EF">
        <w:rPr>
          <w:rFonts w:ascii="Times New Roman" w:hAnsi="Times New Roman"/>
        </w:rPr>
        <w:t xml:space="preserve"> con honestidad y</w:t>
      </w:r>
      <w:r w:rsidRPr="001C31EF">
        <w:rPr>
          <w:rFonts w:ascii="Times New Roman" w:hAnsi="Times New Roman"/>
        </w:rPr>
        <w:t xml:space="preserve"> sin</w:t>
      </w:r>
      <w:r w:rsidR="00041586" w:rsidRPr="001C31EF">
        <w:rPr>
          <w:rFonts w:ascii="Times New Roman" w:hAnsi="Times New Roman"/>
        </w:rPr>
        <w:t xml:space="preserve"> manipulación </w:t>
      </w:r>
      <w:r w:rsidR="00625836" w:rsidRPr="001C31EF">
        <w:rPr>
          <w:rFonts w:ascii="Times New Roman" w:hAnsi="Times New Roman"/>
        </w:rPr>
        <w:t xml:space="preserve">inapropiada </w:t>
      </w:r>
      <w:r w:rsidR="00041586" w:rsidRPr="001C31EF">
        <w:rPr>
          <w:rFonts w:ascii="Times New Roman" w:hAnsi="Times New Roman"/>
        </w:rPr>
        <w:t>de la evidencia.</w:t>
      </w:r>
    </w:p>
    <w:p w14:paraId="4E2C0D0C" w14:textId="623380BC" w:rsidR="00DD6E62" w:rsidRPr="001C31EF" w:rsidRDefault="00782AC0" w:rsidP="00E42D6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autores suscriben</w:t>
      </w:r>
      <w:r w:rsidR="00625836"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</w:rPr>
        <w:t>el</w:t>
      </w:r>
      <w:r w:rsidR="00625836" w:rsidRPr="001C31EF">
        <w:rPr>
          <w:rFonts w:ascii="Times New Roman" w:hAnsi="Times New Roman"/>
        </w:rPr>
        <w:t xml:space="preserve"> “Documento de autorización de uso de derechos de propiedad intelectual”, que faculta a la Universidad Andina Simón Bolívar, Sede Ecuador, la reproducción y comunicación pública</w:t>
      </w:r>
      <w:r w:rsidR="00B75230" w:rsidRPr="001C31EF">
        <w:rPr>
          <w:rFonts w:ascii="Times New Roman" w:hAnsi="Times New Roman"/>
        </w:rPr>
        <w:t xml:space="preserve"> de este material</w:t>
      </w:r>
      <w:r w:rsidR="00630AD3" w:rsidRPr="001C31EF">
        <w:rPr>
          <w:rFonts w:ascii="Times New Roman" w:hAnsi="Times New Roman"/>
        </w:rPr>
        <w:t xml:space="preserve">. </w:t>
      </w:r>
      <w:r w:rsidR="00B75230" w:rsidRPr="001C31EF">
        <w:rPr>
          <w:rFonts w:ascii="Times New Roman" w:hAnsi="Times New Roman"/>
        </w:rPr>
        <w:t>La</w:t>
      </w:r>
      <w:r w:rsidR="00625836" w:rsidRPr="001C31EF">
        <w:rPr>
          <w:rFonts w:ascii="Times New Roman" w:hAnsi="Times New Roman"/>
        </w:rPr>
        <w:t xml:space="preserve"> </w:t>
      </w:r>
      <w:r w:rsidR="00630AD3" w:rsidRPr="001C31EF">
        <w:rPr>
          <w:rFonts w:ascii="Times New Roman" w:hAnsi="Times New Roman"/>
        </w:rPr>
        <w:t xml:space="preserve">aceptación </w:t>
      </w:r>
      <w:r w:rsidR="00625836" w:rsidRPr="001C31EF">
        <w:rPr>
          <w:rFonts w:ascii="Times New Roman" w:hAnsi="Times New Roman"/>
        </w:rPr>
        <w:t xml:space="preserve">permite </w:t>
      </w:r>
      <w:r w:rsidR="00B75230" w:rsidRPr="001C31EF">
        <w:rPr>
          <w:rFonts w:ascii="Times New Roman" w:hAnsi="Times New Roman"/>
        </w:rPr>
        <w:t>su</w:t>
      </w:r>
      <w:r w:rsidR="00625836" w:rsidRPr="001C31EF">
        <w:rPr>
          <w:rFonts w:ascii="Times New Roman" w:hAnsi="Times New Roman"/>
        </w:rPr>
        <w:t xml:space="preserve"> publicación en papel y </w:t>
      </w:r>
      <w:r w:rsidRPr="001C31EF">
        <w:rPr>
          <w:rFonts w:ascii="Times New Roman" w:hAnsi="Times New Roman"/>
        </w:rPr>
        <w:t xml:space="preserve">en forma </w:t>
      </w:r>
      <w:r w:rsidR="00B75230" w:rsidRPr="001C31EF">
        <w:rPr>
          <w:rFonts w:ascii="Times New Roman" w:hAnsi="Times New Roman"/>
        </w:rPr>
        <w:t>electrónica</w:t>
      </w:r>
      <w:r w:rsidR="00625836" w:rsidRPr="001C31EF">
        <w:rPr>
          <w:rFonts w:ascii="Times New Roman" w:hAnsi="Times New Roman"/>
        </w:rPr>
        <w:t>. El autor mantiene los derechos intelectuales sobre su obra y se respetan los derechos de terceros.</w:t>
      </w:r>
      <w:r w:rsidR="00894517">
        <w:rPr>
          <w:rFonts w:ascii="Times New Roman" w:hAnsi="Times New Roman"/>
        </w:rPr>
        <w:t xml:space="preserve"> </w:t>
      </w:r>
      <w:r w:rsidR="00894517" w:rsidRPr="00894517">
        <w:rPr>
          <w:rFonts w:ascii="Times New Roman" w:hAnsi="Times New Roman"/>
          <w:i/>
          <w:iCs/>
        </w:rPr>
        <w:t>Procesos. Revista Ecuatoriana de Historia</w:t>
      </w:r>
      <w:r w:rsidR="00894517">
        <w:rPr>
          <w:rFonts w:ascii="Times New Roman" w:hAnsi="Times New Roman"/>
          <w:i/>
          <w:iCs/>
        </w:rPr>
        <w:t xml:space="preserve"> </w:t>
      </w:r>
      <w:r w:rsidR="00894517">
        <w:rPr>
          <w:rFonts w:ascii="Times New Roman" w:hAnsi="Times New Roman"/>
        </w:rPr>
        <w:t xml:space="preserve">está bajo la licencia </w:t>
      </w:r>
      <w:proofErr w:type="spellStart"/>
      <w:r w:rsidR="00894517">
        <w:rPr>
          <w:rFonts w:ascii="Times New Roman" w:hAnsi="Times New Roman"/>
        </w:rPr>
        <w:t>Creative</w:t>
      </w:r>
      <w:proofErr w:type="spellEnd"/>
      <w:r w:rsidR="00894517">
        <w:rPr>
          <w:rFonts w:ascii="Times New Roman" w:hAnsi="Times New Roman"/>
        </w:rPr>
        <w:t xml:space="preserve"> </w:t>
      </w:r>
      <w:proofErr w:type="spellStart"/>
      <w:r w:rsidR="00894517">
        <w:rPr>
          <w:rFonts w:ascii="Times New Roman" w:hAnsi="Times New Roman"/>
        </w:rPr>
        <w:t>Commons</w:t>
      </w:r>
      <w:proofErr w:type="spellEnd"/>
      <w:r w:rsidR="00894517">
        <w:rPr>
          <w:rFonts w:ascii="Times New Roman" w:hAnsi="Times New Roman"/>
        </w:rPr>
        <w:t xml:space="preserve"> reconocimiento-</w:t>
      </w:r>
      <w:proofErr w:type="spellStart"/>
      <w:r w:rsidR="00894517">
        <w:rPr>
          <w:rFonts w:ascii="Times New Roman" w:hAnsi="Times New Roman"/>
        </w:rPr>
        <w:t>compartilingual</w:t>
      </w:r>
      <w:proofErr w:type="spellEnd"/>
      <w:r w:rsidR="00894517">
        <w:rPr>
          <w:rFonts w:ascii="Times New Roman" w:hAnsi="Times New Roman"/>
        </w:rPr>
        <w:t xml:space="preserve"> 4.0.</w:t>
      </w:r>
    </w:p>
    <w:p w14:paraId="0AFD5191" w14:textId="77777777" w:rsidR="00DD6E62" w:rsidRPr="001C31EF" w:rsidRDefault="00DD6E62" w:rsidP="00E42D66">
      <w:pPr>
        <w:spacing w:line="360" w:lineRule="auto"/>
        <w:jc w:val="both"/>
        <w:rPr>
          <w:rFonts w:ascii="Times New Roman" w:hAnsi="Times New Roman"/>
          <w:b/>
        </w:rPr>
      </w:pPr>
    </w:p>
    <w:p w14:paraId="332ED0BD" w14:textId="77777777" w:rsidR="00F45B4B" w:rsidRPr="001C31EF" w:rsidRDefault="0057050B" w:rsidP="00E42D66">
      <w:pPr>
        <w:spacing w:line="360" w:lineRule="auto"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3</w:t>
      </w:r>
      <w:r w:rsidR="00A6281E" w:rsidRPr="001C31EF">
        <w:rPr>
          <w:rFonts w:ascii="Times New Roman" w:hAnsi="Times New Roman"/>
          <w:i/>
        </w:rPr>
        <w:t>) Acerca del p</w:t>
      </w:r>
      <w:r w:rsidR="00004D3B" w:rsidRPr="001C31EF">
        <w:rPr>
          <w:rFonts w:ascii="Times New Roman" w:hAnsi="Times New Roman"/>
          <w:i/>
        </w:rPr>
        <w:t>roceso de evaluación</w:t>
      </w:r>
    </w:p>
    <w:p w14:paraId="260AAAD1" w14:textId="77777777" w:rsidR="00041586" w:rsidRPr="001C31EF" w:rsidRDefault="007B69AA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Todo artículo</w:t>
      </w:r>
      <w:r w:rsidR="00B3300E" w:rsidRPr="001C31EF">
        <w:rPr>
          <w:rFonts w:ascii="Times New Roman" w:hAnsi="Times New Roman"/>
        </w:rPr>
        <w:t xml:space="preserve"> </w:t>
      </w:r>
      <w:r w:rsidR="00E94148" w:rsidRPr="001C31EF">
        <w:rPr>
          <w:rFonts w:ascii="Times New Roman" w:hAnsi="Times New Roman"/>
        </w:rPr>
        <w:t>es evaluado por</w:t>
      </w:r>
      <w:r w:rsidR="00B3300E" w:rsidRPr="001C31EF">
        <w:rPr>
          <w:rFonts w:ascii="Times New Roman" w:hAnsi="Times New Roman"/>
        </w:rPr>
        <w:t xml:space="preserve"> </w:t>
      </w:r>
      <w:r w:rsidR="00041586" w:rsidRPr="001C31EF">
        <w:rPr>
          <w:rFonts w:ascii="Times New Roman" w:hAnsi="Times New Roman"/>
        </w:rPr>
        <w:t xml:space="preserve">pares </w:t>
      </w:r>
      <w:r w:rsidR="00B3300E" w:rsidRPr="001C31EF">
        <w:rPr>
          <w:rFonts w:ascii="Times New Roman" w:hAnsi="Times New Roman"/>
        </w:rPr>
        <w:t xml:space="preserve">académicos </w:t>
      </w:r>
      <w:r w:rsidR="00041586" w:rsidRPr="001C31EF">
        <w:rPr>
          <w:rFonts w:ascii="Times New Roman" w:hAnsi="Times New Roman"/>
        </w:rPr>
        <w:t>anónimos</w:t>
      </w:r>
      <w:r w:rsidR="00212088" w:rsidRPr="001C31EF">
        <w:rPr>
          <w:rFonts w:ascii="Times New Roman" w:hAnsi="Times New Roman"/>
        </w:rPr>
        <w:t>. P</w:t>
      </w:r>
      <w:r w:rsidR="00041586" w:rsidRPr="001C31EF">
        <w:rPr>
          <w:rFonts w:ascii="Times New Roman" w:hAnsi="Times New Roman"/>
        </w:rPr>
        <w:t xml:space="preserve">or lo tanto, </w:t>
      </w:r>
      <w:r w:rsidR="002D2821" w:rsidRPr="001C31EF">
        <w:rPr>
          <w:rFonts w:ascii="Times New Roman" w:hAnsi="Times New Roman"/>
        </w:rPr>
        <w:t xml:space="preserve">su autor </w:t>
      </w:r>
      <w:r w:rsidR="00041586" w:rsidRPr="001C31EF">
        <w:rPr>
          <w:rFonts w:ascii="Times New Roman" w:hAnsi="Times New Roman"/>
        </w:rPr>
        <w:t>se obliga a tomar en cuenta el dictamen final</w:t>
      </w:r>
      <w:r w:rsidR="00E94148" w:rsidRPr="001C31EF">
        <w:rPr>
          <w:rFonts w:ascii="Times New Roman" w:hAnsi="Times New Roman"/>
        </w:rPr>
        <w:t>.</w:t>
      </w:r>
      <w:r w:rsidR="00041586" w:rsidRPr="001C31EF">
        <w:rPr>
          <w:rFonts w:ascii="Times New Roman" w:hAnsi="Times New Roman"/>
        </w:rPr>
        <w:t xml:space="preserve"> Las modificaciones y/o correcciones solicitadas </w:t>
      </w:r>
      <w:r w:rsidR="00E94148" w:rsidRPr="001C31EF">
        <w:rPr>
          <w:rFonts w:ascii="Times New Roman" w:hAnsi="Times New Roman"/>
        </w:rPr>
        <w:t>son</w:t>
      </w:r>
      <w:r w:rsidR="00041586" w:rsidRPr="001C31EF">
        <w:rPr>
          <w:rFonts w:ascii="Times New Roman" w:hAnsi="Times New Roman"/>
        </w:rPr>
        <w:t xml:space="preserve"> vinculante</w:t>
      </w:r>
      <w:r w:rsidR="00E94148" w:rsidRPr="001C31EF">
        <w:rPr>
          <w:rFonts w:ascii="Times New Roman" w:hAnsi="Times New Roman"/>
        </w:rPr>
        <w:t>s</w:t>
      </w:r>
      <w:r w:rsidR="00041586" w:rsidRPr="001C31EF">
        <w:rPr>
          <w:rFonts w:ascii="Times New Roman" w:hAnsi="Times New Roman"/>
        </w:rPr>
        <w:t xml:space="preserve"> con la publicación, y deben ser absueltas en el plazo indicado. Una vez recibido el trabajo </w:t>
      </w:r>
      <w:r w:rsidR="00E94148" w:rsidRPr="001C31EF">
        <w:rPr>
          <w:rFonts w:ascii="Times New Roman" w:hAnsi="Times New Roman"/>
        </w:rPr>
        <w:t>modificado</w:t>
      </w:r>
      <w:r w:rsidR="00041586" w:rsidRPr="001C31EF">
        <w:rPr>
          <w:rFonts w:ascii="Times New Roman" w:hAnsi="Times New Roman"/>
        </w:rPr>
        <w:t>, se le informará al autor de su aceptación, así como del cronograma de publicación.</w:t>
      </w:r>
      <w:r w:rsidR="00782AC0" w:rsidRPr="001C31EF">
        <w:rPr>
          <w:rFonts w:ascii="Times New Roman" w:hAnsi="Times New Roman"/>
        </w:rPr>
        <w:t xml:space="preserve"> La revista se reserva el derecho de realizar </w:t>
      </w:r>
      <w:r w:rsidR="00E94148" w:rsidRPr="001C31EF">
        <w:rPr>
          <w:rFonts w:ascii="Times New Roman" w:hAnsi="Times New Roman"/>
        </w:rPr>
        <w:t>correcciones</w:t>
      </w:r>
      <w:r w:rsidR="00782AC0" w:rsidRPr="001C31EF">
        <w:rPr>
          <w:rFonts w:ascii="Times New Roman" w:hAnsi="Times New Roman"/>
        </w:rPr>
        <w:t xml:space="preserve"> de estilo a los trabajos aceptados.</w:t>
      </w:r>
    </w:p>
    <w:p w14:paraId="0247EAB2" w14:textId="3C0CE83D" w:rsidR="00041586" w:rsidRPr="001C31EF" w:rsidRDefault="00950425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</w:t>
      </w:r>
      <w:r w:rsidR="00041586" w:rsidRPr="001C31EF">
        <w:rPr>
          <w:rFonts w:ascii="Times New Roman" w:hAnsi="Times New Roman"/>
        </w:rPr>
        <w:t xml:space="preserve"> pares anónimos </w:t>
      </w:r>
      <w:r>
        <w:rPr>
          <w:rFonts w:ascii="Times New Roman" w:hAnsi="Times New Roman"/>
        </w:rPr>
        <w:t xml:space="preserve">externos </w:t>
      </w:r>
      <w:r w:rsidR="00154155" w:rsidRPr="001C31EF">
        <w:rPr>
          <w:rFonts w:ascii="Times New Roman" w:hAnsi="Times New Roman"/>
        </w:rPr>
        <w:t>examina</w:t>
      </w:r>
      <w:r>
        <w:rPr>
          <w:rFonts w:ascii="Times New Roman" w:hAnsi="Times New Roman"/>
        </w:rPr>
        <w:t>n</w:t>
      </w:r>
      <w:r w:rsidR="00154155" w:rsidRPr="001C31EF">
        <w:rPr>
          <w:rFonts w:ascii="Times New Roman" w:hAnsi="Times New Roman"/>
        </w:rPr>
        <w:t xml:space="preserve"> la calidad</w:t>
      </w:r>
      <w:r w:rsidR="00041586" w:rsidRPr="001C31EF">
        <w:rPr>
          <w:rFonts w:ascii="Times New Roman" w:hAnsi="Times New Roman"/>
        </w:rPr>
        <w:t xml:space="preserve"> </w:t>
      </w:r>
      <w:r w:rsidR="00154155" w:rsidRPr="001C31EF">
        <w:rPr>
          <w:rFonts w:ascii="Times New Roman" w:hAnsi="Times New Roman"/>
        </w:rPr>
        <w:t>académica</w:t>
      </w:r>
      <w:r w:rsidR="00E92127" w:rsidRPr="001C31EF">
        <w:rPr>
          <w:rFonts w:ascii="Times New Roman" w:hAnsi="Times New Roman"/>
        </w:rPr>
        <w:t xml:space="preserve"> de los trabajos propuestos en un marco</w:t>
      </w:r>
      <w:r w:rsidR="00042C66" w:rsidRPr="001C31EF">
        <w:rPr>
          <w:rFonts w:ascii="Times New Roman" w:hAnsi="Times New Roman"/>
        </w:rPr>
        <w:t xml:space="preserve"> de libertad de expresión</w:t>
      </w:r>
      <w:r w:rsidR="00E92127" w:rsidRPr="001C31EF">
        <w:rPr>
          <w:rFonts w:ascii="Times New Roman" w:hAnsi="Times New Roman"/>
        </w:rPr>
        <w:t>, diálogo crítico</w:t>
      </w:r>
      <w:r w:rsidR="00042C66" w:rsidRPr="001C31EF">
        <w:rPr>
          <w:rFonts w:ascii="Times New Roman" w:hAnsi="Times New Roman"/>
        </w:rPr>
        <w:t xml:space="preserve"> y</w:t>
      </w:r>
      <w:r w:rsidR="00041586" w:rsidRPr="001C31EF">
        <w:rPr>
          <w:rFonts w:ascii="Times New Roman" w:hAnsi="Times New Roman"/>
        </w:rPr>
        <w:t xml:space="preserve"> adhesión a principios éticos.</w:t>
      </w:r>
    </w:p>
    <w:p w14:paraId="1C036F2E" w14:textId="10799428" w:rsidR="00041586" w:rsidRPr="001C31EF" w:rsidRDefault="00042C66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Sobre esta base, c</w:t>
      </w:r>
      <w:r w:rsidR="009D5A37" w:rsidRPr="001C31EF">
        <w:rPr>
          <w:rFonts w:ascii="Times New Roman" w:hAnsi="Times New Roman"/>
        </w:rPr>
        <w:t>ada contribución es evaluada por dos lectores anónimos</w:t>
      </w:r>
      <w:r w:rsidRPr="001C31EF">
        <w:rPr>
          <w:rFonts w:ascii="Times New Roman" w:hAnsi="Times New Roman"/>
        </w:rPr>
        <w:t xml:space="preserve">. </w:t>
      </w:r>
      <w:r w:rsidRPr="00160631">
        <w:rPr>
          <w:rFonts w:ascii="Times New Roman" w:hAnsi="Times New Roman"/>
        </w:rPr>
        <w:t xml:space="preserve">Para el efecto, </w:t>
      </w:r>
      <w:r w:rsidR="003E0C63" w:rsidRPr="00160631">
        <w:rPr>
          <w:rFonts w:ascii="Times New Roman" w:hAnsi="Times New Roman"/>
        </w:rPr>
        <w:t>se emplea</w:t>
      </w:r>
      <w:r w:rsidR="009D5A37" w:rsidRPr="00160631">
        <w:rPr>
          <w:rFonts w:ascii="Times New Roman" w:hAnsi="Times New Roman"/>
        </w:rPr>
        <w:t xml:space="preserve"> </w:t>
      </w:r>
      <w:r w:rsidRPr="00160631">
        <w:rPr>
          <w:rFonts w:ascii="Times New Roman" w:hAnsi="Times New Roman"/>
        </w:rPr>
        <w:t>el</w:t>
      </w:r>
      <w:r w:rsidR="009D5A37" w:rsidRPr="00160631">
        <w:rPr>
          <w:rFonts w:ascii="Times New Roman" w:hAnsi="Times New Roman"/>
        </w:rPr>
        <w:t xml:space="preserve"> “Formulario de evaluación” </w:t>
      </w:r>
      <w:r w:rsidRPr="00160631">
        <w:rPr>
          <w:rFonts w:ascii="Times New Roman" w:hAnsi="Times New Roman"/>
        </w:rPr>
        <w:t xml:space="preserve">que se puede </w:t>
      </w:r>
      <w:r w:rsidR="00DD6E62" w:rsidRPr="00160631">
        <w:rPr>
          <w:rFonts w:ascii="Times New Roman" w:hAnsi="Times New Roman"/>
        </w:rPr>
        <w:t xml:space="preserve">descargar del siguiente enlace: </w:t>
      </w:r>
      <w:r w:rsidR="00160631" w:rsidRPr="00160631">
        <w:rPr>
          <w:rFonts w:ascii="Times New Roman" w:hAnsi="Times New Roman"/>
        </w:rPr>
        <w:t>http://evaluacionpares.revistaprocesos.ec/</w:t>
      </w:r>
      <w:r w:rsidRPr="00160631">
        <w:rPr>
          <w:rFonts w:ascii="Times New Roman" w:hAnsi="Times New Roman"/>
        </w:rPr>
        <w:t>.</w:t>
      </w:r>
      <w:r w:rsidRPr="006A27E9">
        <w:rPr>
          <w:rFonts w:ascii="Times New Roman" w:hAnsi="Times New Roman"/>
        </w:rPr>
        <w:t xml:space="preserve"> </w:t>
      </w:r>
      <w:r w:rsidR="00782AC0" w:rsidRPr="001C31EF">
        <w:rPr>
          <w:rFonts w:ascii="Times New Roman" w:hAnsi="Times New Roman"/>
        </w:rPr>
        <w:t>En caso de</w:t>
      </w:r>
      <w:r w:rsidR="003E0C63" w:rsidRPr="001C31EF">
        <w:rPr>
          <w:rFonts w:ascii="Times New Roman" w:hAnsi="Times New Roman"/>
        </w:rPr>
        <w:t xml:space="preserve"> </w:t>
      </w:r>
      <w:r w:rsidR="00686EA9" w:rsidRPr="001C31EF">
        <w:rPr>
          <w:rFonts w:ascii="Times New Roman" w:hAnsi="Times New Roman"/>
        </w:rPr>
        <w:t>que aparezca</w:t>
      </w:r>
      <w:r w:rsidR="00041586" w:rsidRPr="001C31EF">
        <w:rPr>
          <w:rFonts w:ascii="Times New Roman" w:hAnsi="Times New Roman"/>
        </w:rPr>
        <w:t xml:space="preserve"> una </w:t>
      </w:r>
      <w:r w:rsidR="00686EA9" w:rsidRPr="001C31EF">
        <w:rPr>
          <w:rFonts w:ascii="Times New Roman" w:hAnsi="Times New Roman"/>
        </w:rPr>
        <w:t>contradicción en el dictamen de</w:t>
      </w:r>
      <w:r w:rsidR="00041586"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</w:rPr>
        <w:t>los árbitros,</w:t>
      </w:r>
      <w:r w:rsidR="00041586" w:rsidRPr="001C31EF">
        <w:rPr>
          <w:rFonts w:ascii="Times New Roman" w:hAnsi="Times New Roman"/>
        </w:rPr>
        <w:t xml:space="preserve"> se buscará un tercer evaluador dirimente.</w:t>
      </w:r>
      <w:r w:rsidR="003E0C63" w:rsidRPr="001C31EF">
        <w:rPr>
          <w:rFonts w:ascii="Times New Roman" w:hAnsi="Times New Roman"/>
        </w:rPr>
        <w:t xml:space="preserve"> El Editor </w:t>
      </w:r>
      <w:r w:rsidR="00EF62C9" w:rsidRPr="001C31EF">
        <w:rPr>
          <w:rFonts w:ascii="Times New Roman" w:hAnsi="Times New Roman"/>
        </w:rPr>
        <w:t>y</w:t>
      </w:r>
      <w:r w:rsidR="003E0C63" w:rsidRPr="001C31EF">
        <w:rPr>
          <w:rFonts w:ascii="Times New Roman" w:hAnsi="Times New Roman"/>
        </w:rPr>
        <w:t xml:space="preserve"> el Comité Editorial se reservan la última palabra en cuanto a la publicación de un texto. </w:t>
      </w:r>
    </w:p>
    <w:p w14:paraId="4ACCFA40" w14:textId="77777777" w:rsidR="00041586" w:rsidRPr="001C31EF" w:rsidRDefault="00041586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No existe comunicación directa entre los evaluadores anónimos entre sí, ni entre </w:t>
      </w:r>
      <w:r w:rsidR="00687E3F" w:rsidRPr="001C31EF">
        <w:rPr>
          <w:rFonts w:ascii="Times New Roman" w:hAnsi="Times New Roman"/>
        </w:rPr>
        <w:t>e</w:t>
      </w:r>
      <w:r w:rsidRPr="001C31EF">
        <w:rPr>
          <w:rFonts w:ascii="Times New Roman" w:hAnsi="Times New Roman"/>
        </w:rPr>
        <w:t xml:space="preserve">stos y el autor del trabajo. La comunicación entre </w:t>
      </w:r>
      <w:r w:rsidR="00687E3F" w:rsidRPr="001C31EF">
        <w:rPr>
          <w:rFonts w:ascii="Times New Roman" w:hAnsi="Times New Roman"/>
        </w:rPr>
        <w:t>l</w:t>
      </w:r>
      <w:r w:rsidRPr="001C31EF">
        <w:rPr>
          <w:rFonts w:ascii="Times New Roman" w:hAnsi="Times New Roman"/>
        </w:rPr>
        <w:t>os actores está mediada por el Editor</w:t>
      </w:r>
      <w:r w:rsidR="003E0C63" w:rsidRPr="001C31EF">
        <w:rPr>
          <w:rFonts w:ascii="Times New Roman" w:hAnsi="Times New Roman"/>
        </w:rPr>
        <w:t xml:space="preserve">. </w:t>
      </w:r>
    </w:p>
    <w:p w14:paraId="34A93F1E" w14:textId="77777777" w:rsidR="007B69AA" w:rsidRPr="001C31EF" w:rsidRDefault="00041586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Los árbitros tienen un plazo </w:t>
      </w:r>
      <w:r w:rsidR="003E0C63" w:rsidRPr="001C31EF">
        <w:rPr>
          <w:rFonts w:ascii="Times New Roman" w:hAnsi="Times New Roman"/>
        </w:rPr>
        <w:t xml:space="preserve">aproximado </w:t>
      </w:r>
      <w:r w:rsidRPr="001C31EF">
        <w:rPr>
          <w:rFonts w:ascii="Times New Roman" w:hAnsi="Times New Roman"/>
        </w:rPr>
        <w:t xml:space="preserve">de </w:t>
      </w:r>
      <w:r w:rsidR="00686EA9" w:rsidRPr="001C31EF">
        <w:rPr>
          <w:rFonts w:ascii="Times New Roman" w:hAnsi="Times New Roman"/>
        </w:rPr>
        <w:t>cuatro</w:t>
      </w:r>
      <w:r w:rsidR="003E0C63" w:rsidRPr="001C31EF">
        <w:rPr>
          <w:rFonts w:ascii="Times New Roman" w:hAnsi="Times New Roman"/>
        </w:rPr>
        <w:t xml:space="preserve"> semanas</w:t>
      </w:r>
      <w:r w:rsidRPr="001C31EF">
        <w:rPr>
          <w:rFonts w:ascii="Times New Roman" w:hAnsi="Times New Roman"/>
        </w:rPr>
        <w:t xml:space="preserve"> para </w:t>
      </w:r>
      <w:r w:rsidR="003E0C63" w:rsidRPr="001C31EF">
        <w:rPr>
          <w:rFonts w:ascii="Times New Roman" w:hAnsi="Times New Roman"/>
        </w:rPr>
        <w:t>efectuar la</w:t>
      </w:r>
      <w:r w:rsidRPr="001C31EF">
        <w:rPr>
          <w:rFonts w:ascii="Times New Roman" w:hAnsi="Times New Roman"/>
        </w:rPr>
        <w:t xml:space="preserve"> evaluación. </w:t>
      </w:r>
      <w:r w:rsidR="003E0C63" w:rsidRPr="001C31EF">
        <w:rPr>
          <w:rFonts w:ascii="Times New Roman" w:hAnsi="Times New Roman"/>
        </w:rPr>
        <w:t>Por su parte, lo</w:t>
      </w:r>
      <w:r w:rsidR="00686EA9" w:rsidRPr="001C31EF">
        <w:rPr>
          <w:rFonts w:ascii="Times New Roman" w:hAnsi="Times New Roman"/>
        </w:rPr>
        <w:t>s autores disponen de dos</w:t>
      </w:r>
      <w:r w:rsidR="003E0C63" w:rsidRPr="001C31EF">
        <w:rPr>
          <w:rFonts w:ascii="Times New Roman" w:hAnsi="Times New Roman"/>
        </w:rPr>
        <w:t xml:space="preserve"> semanas para incorporar las observaciones. </w:t>
      </w:r>
    </w:p>
    <w:p w14:paraId="5BE741E1" w14:textId="77777777" w:rsidR="00041586" w:rsidRPr="001C31EF" w:rsidRDefault="00C112A0" w:rsidP="00E42D6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Las reseñas, solicitadas o recibidas, son evaluadas por el Editor y el Comité Editorial. Pueden versar sobre libros que haya</w:t>
      </w:r>
      <w:r w:rsidR="00686EA9" w:rsidRPr="001C31EF">
        <w:rPr>
          <w:rFonts w:ascii="Times New Roman" w:hAnsi="Times New Roman"/>
        </w:rPr>
        <w:t>n sido publicados en los</w:t>
      </w:r>
      <w:r w:rsidRPr="001C31EF">
        <w:rPr>
          <w:rFonts w:ascii="Times New Roman" w:hAnsi="Times New Roman"/>
        </w:rPr>
        <w:t xml:space="preserve"> </w:t>
      </w:r>
      <w:r w:rsidR="00C63957" w:rsidRPr="001C31EF">
        <w:rPr>
          <w:rFonts w:ascii="Times New Roman" w:hAnsi="Times New Roman"/>
        </w:rPr>
        <w:t xml:space="preserve">últimos </w:t>
      </w:r>
      <w:r w:rsidRPr="001C31EF">
        <w:rPr>
          <w:rFonts w:ascii="Times New Roman" w:hAnsi="Times New Roman"/>
        </w:rPr>
        <w:t>cuatro años.</w:t>
      </w:r>
    </w:p>
    <w:p w14:paraId="51D748BA" w14:textId="77777777" w:rsidR="00687E3F" w:rsidRPr="001C31EF" w:rsidRDefault="00687E3F" w:rsidP="00E42D66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B0DE84D" w14:textId="77777777" w:rsidR="00041586" w:rsidRPr="001C31EF" w:rsidRDefault="0010539A" w:rsidP="00E42D66">
      <w:pPr>
        <w:spacing w:line="360" w:lineRule="auto"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lastRenderedPageBreak/>
        <w:t>4</w:t>
      </w:r>
      <w:r w:rsidR="00594C46" w:rsidRPr="001C31EF">
        <w:rPr>
          <w:rFonts w:ascii="Times New Roman" w:hAnsi="Times New Roman"/>
          <w:i/>
        </w:rPr>
        <w:t>) Responsabilidad de los editores</w:t>
      </w:r>
    </w:p>
    <w:p w14:paraId="6F95BEEA" w14:textId="77777777" w:rsidR="00041586" w:rsidRPr="001C31EF" w:rsidRDefault="00041586" w:rsidP="00E42D6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El Editor y el Comité Editorial tienen </w:t>
      </w:r>
      <w:r w:rsidR="00594C46" w:rsidRPr="001C31EF">
        <w:rPr>
          <w:rFonts w:ascii="Times New Roman" w:hAnsi="Times New Roman"/>
        </w:rPr>
        <w:t>el encargo</w:t>
      </w:r>
      <w:r w:rsidRPr="001C31EF">
        <w:rPr>
          <w:rFonts w:ascii="Times New Roman" w:hAnsi="Times New Roman"/>
        </w:rPr>
        <w:t xml:space="preserve"> de </w:t>
      </w:r>
      <w:r w:rsidR="00686EA9" w:rsidRPr="001C31EF">
        <w:rPr>
          <w:rFonts w:ascii="Times New Roman" w:hAnsi="Times New Roman"/>
        </w:rPr>
        <w:t>llevar a la</w:t>
      </w:r>
      <w:r w:rsidRPr="001C31EF">
        <w:rPr>
          <w:rFonts w:ascii="Times New Roman" w:hAnsi="Times New Roman"/>
        </w:rPr>
        <w:t xml:space="preserve"> práctica las políticas editoriales de </w:t>
      </w:r>
      <w:r w:rsidRPr="001C31EF">
        <w:rPr>
          <w:rFonts w:ascii="Times New Roman" w:hAnsi="Times New Roman"/>
          <w:i/>
        </w:rPr>
        <w:t>Procesos</w:t>
      </w:r>
      <w:r w:rsidRPr="001C31EF">
        <w:rPr>
          <w:rFonts w:ascii="Times New Roman" w:hAnsi="Times New Roman"/>
        </w:rPr>
        <w:t xml:space="preserve">. Estas se orientan a asegurar la calidad del material publicable, fomentar la innovación de la investigación histórica, alentar el debate académico, preservar la libertad de expresión, </w:t>
      </w:r>
      <w:r w:rsidR="00045938" w:rsidRPr="001C31EF">
        <w:rPr>
          <w:rFonts w:ascii="Times New Roman" w:hAnsi="Times New Roman"/>
        </w:rPr>
        <w:t>aplicar</w:t>
      </w:r>
      <w:r w:rsidRPr="001C31EF">
        <w:rPr>
          <w:rFonts w:ascii="Times New Roman" w:hAnsi="Times New Roman"/>
        </w:rPr>
        <w:t xml:space="preserve"> el proceso de evaluación y publicación dentro de un marco de </w:t>
      </w:r>
      <w:r w:rsidR="00C63957" w:rsidRPr="001C31EF">
        <w:rPr>
          <w:rFonts w:ascii="Times New Roman" w:hAnsi="Times New Roman"/>
        </w:rPr>
        <w:t xml:space="preserve">rigor y </w:t>
      </w:r>
      <w:r w:rsidRPr="001C31EF">
        <w:rPr>
          <w:rFonts w:ascii="Times New Roman" w:hAnsi="Times New Roman"/>
        </w:rPr>
        <w:t>v</w:t>
      </w:r>
      <w:r w:rsidR="00272211" w:rsidRPr="001C31EF">
        <w:rPr>
          <w:rFonts w:ascii="Times New Roman" w:hAnsi="Times New Roman"/>
        </w:rPr>
        <w:t>alores éticos</w:t>
      </w:r>
      <w:r w:rsidRPr="001C31EF">
        <w:rPr>
          <w:rFonts w:ascii="Times New Roman" w:hAnsi="Times New Roman"/>
        </w:rPr>
        <w:t xml:space="preserve">, </w:t>
      </w:r>
      <w:r w:rsidR="00686EA9" w:rsidRPr="001C31EF">
        <w:rPr>
          <w:rFonts w:ascii="Times New Roman" w:hAnsi="Times New Roman"/>
        </w:rPr>
        <w:t>y</w:t>
      </w:r>
      <w:r w:rsidRPr="001C31EF">
        <w:rPr>
          <w:rFonts w:ascii="Times New Roman" w:hAnsi="Times New Roman"/>
        </w:rPr>
        <w:t xml:space="preserve"> </w:t>
      </w:r>
      <w:r w:rsidR="00272211" w:rsidRPr="001C31EF">
        <w:rPr>
          <w:rFonts w:ascii="Times New Roman" w:hAnsi="Times New Roman"/>
        </w:rPr>
        <w:t>afirmar</w:t>
      </w:r>
      <w:r w:rsidR="00686EA9" w:rsidRPr="001C31EF">
        <w:rPr>
          <w:rFonts w:ascii="Times New Roman" w:hAnsi="Times New Roman"/>
        </w:rPr>
        <w:t>, en lo posible,</w:t>
      </w:r>
      <w:r w:rsidRPr="001C31EF">
        <w:rPr>
          <w:rFonts w:ascii="Times New Roman" w:hAnsi="Times New Roman"/>
        </w:rPr>
        <w:t xml:space="preserve"> la integridad académica del material publicable. </w:t>
      </w:r>
    </w:p>
    <w:p w14:paraId="5ECA1B41" w14:textId="77777777" w:rsidR="002B543D" w:rsidRPr="001C31EF" w:rsidRDefault="00041586" w:rsidP="00E42D6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La </w:t>
      </w:r>
      <w:r w:rsidR="00686EA9" w:rsidRPr="001C31EF">
        <w:rPr>
          <w:rFonts w:ascii="Times New Roman" w:hAnsi="Times New Roman"/>
        </w:rPr>
        <w:t>coordinación de</w:t>
      </w:r>
      <w:r w:rsidRPr="001C31EF">
        <w:rPr>
          <w:rFonts w:ascii="Times New Roman" w:hAnsi="Times New Roman"/>
        </w:rPr>
        <w:t xml:space="preserve"> los procedimientos inherentes a la recepción</w:t>
      </w:r>
      <w:r w:rsidR="00686EA9" w:rsidRPr="001C31EF">
        <w:rPr>
          <w:rFonts w:ascii="Times New Roman" w:hAnsi="Times New Roman"/>
        </w:rPr>
        <w:t>, evaluación</w:t>
      </w:r>
      <w:r w:rsidRPr="001C31EF">
        <w:rPr>
          <w:rFonts w:ascii="Times New Roman" w:hAnsi="Times New Roman"/>
        </w:rPr>
        <w:t xml:space="preserve"> </w:t>
      </w:r>
      <w:r w:rsidR="00686EA9" w:rsidRPr="001C31EF">
        <w:rPr>
          <w:rFonts w:ascii="Times New Roman" w:hAnsi="Times New Roman"/>
        </w:rPr>
        <w:t xml:space="preserve">y aceptación </w:t>
      </w:r>
      <w:r w:rsidRPr="001C31EF">
        <w:rPr>
          <w:rFonts w:ascii="Times New Roman" w:hAnsi="Times New Roman"/>
        </w:rPr>
        <w:t>de una contribución</w:t>
      </w:r>
      <w:r w:rsidR="00686EA9" w:rsidRPr="001C31EF">
        <w:rPr>
          <w:rFonts w:ascii="Times New Roman" w:hAnsi="Times New Roman"/>
        </w:rPr>
        <w:t xml:space="preserve"> presentada a </w:t>
      </w:r>
      <w:r w:rsidRPr="001C31EF">
        <w:rPr>
          <w:rFonts w:ascii="Times New Roman" w:hAnsi="Times New Roman"/>
          <w:i/>
        </w:rPr>
        <w:t>Procesos</w:t>
      </w:r>
      <w:r w:rsidR="00686EA9" w:rsidRPr="001C31EF">
        <w:rPr>
          <w:rFonts w:ascii="Times New Roman" w:hAnsi="Times New Roman"/>
        </w:rPr>
        <w:t xml:space="preserve"> corresponde al </w:t>
      </w:r>
      <w:r w:rsidRPr="001C31EF">
        <w:rPr>
          <w:rFonts w:ascii="Times New Roman" w:hAnsi="Times New Roman"/>
        </w:rPr>
        <w:t>Editor. La aceptación o rechazo de un artículo se realiza únicamente a partir de</w:t>
      </w:r>
      <w:r w:rsidR="00686EA9" w:rsidRPr="001C31EF">
        <w:rPr>
          <w:rFonts w:ascii="Times New Roman" w:hAnsi="Times New Roman"/>
        </w:rPr>
        <w:t>l criterio de</w:t>
      </w:r>
      <w:r w:rsidRPr="001C31EF">
        <w:rPr>
          <w:rFonts w:ascii="Times New Roman" w:hAnsi="Times New Roman"/>
        </w:rPr>
        <w:t xml:space="preserve"> </w:t>
      </w:r>
      <w:r w:rsidR="00272211" w:rsidRPr="001C31EF">
        <w:rPr>
          <w:rFonts w:ascii="Times New Roman" w:hAnsi="Times New Roman"/>
        </w:rPr>
        <w:t xml:space="preserve">calidad </w:t>
      </w:r>
      <w:r w:rsidR="00686EA9" w:rsidRPr="001C31EF">
        <w:rPr>
          <w:rFonts w:ascii="Times New Roman" w:hAnsi="Times New Roman"/>
        </w:rPr>
        <w:t xml:space="preserve">e integridad </w:t>
      </w:r>
      <w:r w:rsidR="00272211" w:rsidRPr="001C31EF">
        <w:rPr>
          <w:rFonts w:ascii="Times New Roman" w:hAnsi="Times New Roman"/>
        </w:rPr>
        <w:t>académica</w:t>
      </w:r>
      <w:r w:rsidRPr="001C31EF">
        <w:rPr>
          <w:rFonts w:ascii="Times New Roman" w:hAnsi="Times New Roman"/>
        </w:rPr>
        <w:t>. Al Editor también le corresponde la obligación de publicar enmiendas o rectificaciones</w:t>
      </w:r>
      <w:r w:rsidR="00686EA9" w:rsidRPr="001C31EF">
        <w:rPr>
          <w:rFonts w:ascii="Times New Roman" w:hAnsi="Times New Roman"/>
        </w:rPr>
        <w:t>.</w:t>
      </w:r>
      <w:r w:rsidRPr="001C31EF">
        <w:rPr>
          <w:rFonts w:ascii="Times New Roman" w:hAnsi="Times New Roman"/>
        </w:rPr>
        <w:t xml:space="preserve"> </w:t>
      </w:r>
    </w:p>
    <w:p w14:paraId="0A847D62" w14:textId="77777777" w:rsidR="0010539A" w:rsidRPr="001C31EF" w:rsidRDefault="002B543D" w:rsidP="00E42D6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En caso de presentarse un conflicto de intereses, </w:t>
      </w:r>
      <w:r w:rsidR="00041586" w:rsidRPr="001C31EF">
        <w:rPr>
          <w:rFonts w:ascii="Times New Roman" w:hAnsi="Times New Roman"/>
        </w:rPr>
        <w:t xml:space="preserve">este será resuelto dentro del marco de las políticas editoriales, </w:t>
      </w:r>
      <w:r w:rsidRPr="001C31EF">
        <w:rPr>
          <w:rFonts w:ascii="Times New Roman" w:hAnsi="Times New Roman"/>
        </w:rPr>
        <w:t>a cargo</w:t>
      </w:r>
      <w:r w:rsidR="00041586" w:rsidRPr="001C31EF">
        <w:rPr>
          <w:rFonts w:ascii="Times New Roman" w:hAnsi="Times New Roman"/>
        </w:rPr>
        <w:t xml:space="preserve"> de una comisión de tres integrantes</w:t>
      </w:r>
      <w:r w:rsidR="00686EA9" w:rsidRPr="001C31EF">
        <w:rPr>
          <w:rFonts w:ascii="Times New Roman" w:hAnsi="Times New Roman"/>
        </w:rPr>
        <w:t xml:space="preserve">: </w:t>
      </w:r>
      <w:r w:rsidRPr="001C31EF">
        <w:rPr>
          <w:rFonts w:ascii="Times New Roman" w:hAnsi="Times New Roman"/>
        </w:rPr>
        <w:t xml:space="preserve">uno </w:t>
      </w:r>
      <w:r w:rsidR="00041586" w:rsidRPr="001C31EF">
        <w:rPr>
          <w:rFonts w:ascii="Times New Roman" w:hAnsi="Times New Roman"/>
        </w:rPr>
        <w:t xml:space="preserve">del Comité Editorial y </w:t>
      </w:r>
      <w:r w:rsidRPr="001C31EF">
        <w:rPr>
          <w:rFonts w:ascii="Times New Roman" w:hAnsi="Times New Roman"/>
        </w:rPr>
        <w:t xml:space="preserve">dos </w:t>
      </w:r>
      <w:r w:rsidR="00041586" w:rsidRPr="001C31EF">
        <w:rPr>
          <w:rFonts w:ascii="Times New Roman" w:hAnsi="Times New Roman"/>
        </w:rPr>
        <w:t>del Comité Asesor Internacional.</w:t>
      </w:r>
    </w:p>
    <w:p w14:paraId="17CADA3E" w14:textId="7218F6A2" w:rsidR="0010539A" w:rsidRDefault="0010539A" w:rsidP="00E42D66">
      <w:pPr>
        <w:spacing w:line="360" w:lineRule="auto"/>
        <w:jc w:val="center"/>
        <w:rPr>
          <w:rFonts w:ascii="Times New Roman" w:hAnsi="Times New Roman"/>
          <w:b/>
        </w:rPr>
      </w:pPr>
    </w:p>
    <w:p w14:paraId="09D72464" w14:textId="4BA67D49" w:rsidR="00894517" w:rsidRPr="001C31EF" w:rsidRDefault="00894517" w:rsidP="00894517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Pr="001C31EF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i/>
        </w:rPr>
        <w:t>Sobre plagio</w:t>
      </w:r>
    </w:p>
    <w:p w14:paraId="42BA8D9A" w14:textId="31C6084D" w:rsidR="00894517" w:rsidRDefault="00894517" w:rsidP="00894517">
      <w:pPr>
        <w:pStyle w:val="Prrafodelista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/>
          <w:bCs/>
        </w:rPr>
      </w:pPr>
      <w:r w:rsidRPr="00894517">
        <w:rPr>
          <w:rFonts w:ascii="Times New Roman" w:hAnsi="Times New Roman"/>
          <w:bCs/>
        </w:rPr>
        <w:t xml:space="preserve">Cuando </w:t>
      </w:r>
      <w:r>
        <w:rPr>
          <w:rFonts w:ascii="Times New Roman" w:hAnsi="Times New Roman"/>
          <w:bCs/>
        </w:rPr>
        <w:t>es detectado plagio el texto es rechazado automáticamente y devuelto inmediatamente a su autor. Esta decisión es inapelable.</w:t>
      </w:r>
    </w:p>
    <w:p w14:paraId="15393064" w14:textId="77777777" w:rsidR="00894517" w:rsidRPr="00894517" w:rsidRDefault="00894517" w:rsidP="00894517">
      <w:pPr>
        <w:pStyle w:val="Prrafodelista"/>
        <w:spacing w:line="360" w:lineRule="auto"/>
        <w:ind w:left="284"/>
        <w:jc w:val="both"/>
        <w:rPr>
          <w:rFonts w:ascii="Times New Roman" w:hAnsi="Times New Roman"/>
          <w:bCs/>
        </w:rPr>
      </w:pPr>
    </w:p>
    <w:p w14:paraId="4DA1B9E9" w14:textId="614D8B48" w:rsidR="00687E3F" w:rsidRPr="001C31EF" w:rsidRDefault="00621BE0" w:rsidP="00E42D66">
      <w:pPr>
        <w:spacing w:line="360" w:lineRule="auto"/>
        <w:jc w:val="center"/>
        <w:rPr>
          <w:rFonts w:ascii="Times New Roman" w:hAnsi="Times New Roman"/>
          <w:b/>
        </w:rPr>
      </w:pPr>
      <w:r w:rsidRPr="001C31EF">
        <w:rPr>
          <w:rFonts w:ascii="Times New Roman" w:hAnsi="Times New Roman"/>
          <w:b/>
        </w:rPr>
        <w:t>G</w:t>
      </w:r>
      <w:r w:rsidR="00DD6E62" w:rsidRPr="001C31EF">
        <w:rPr>
          <w:rFonts w:ascii="Times New Roman" w:hAnsi="Times New Roman"/>
          <w:b/>
        </w:rPr>
        <w:t>uía editorial</w:t>
      </w:r>
    </w:p>
    <w:p w14:paraId="50660E50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</w:t>
      </w:r>
      <w:r w:rsidR="00687E3F" w:rsidRPr="001C31EF">
        <w:rPr>
          <w:rFonts w:ascii="Times New Roman" w:hAnsi="Times New Roman"/>
        </w:rPr>
        <w:t>os artículos propuestos para la</w:t>
      </w:r>
      <w:r w:rsidRPr="001C31EF">
        <w:rPr>
          <w:rFonts w:ascii="Times New Roman" w:hAnsi="Times New Roman"/>
        </w:rPr>
        <w:t xml:space="preserve"> secci</w:t>
      </w:r>
      <w:r w:rsidR="00687E3F" w:rsidRPr="001C31EF">
        <w:rPr>
          <w:rFonts w:ascii="Times New Roman" w:hAnsi="Times New Roman"/>
        </w:rPr>
        <w:t>ón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Estudios</w:t>
      </w:r>
      <w:r w:rsidRPr="001C31EF">
        <w:rPr>
          <w:rFonts w:ascii="Times New Roman" w:hAnsi="Times New Roman"/>
        </w:rPr>
        <w:t xml:space="preserve"> deben observar el límite de 11 mil palabras; y para </w:t>
      </w:r>
      <w:r w:rsidRPr="001C31EF">
        <w:rPr>
          <w:rFonts w:ascii="Times New Roman" w:hAnsi="Times New Roman"/>
          <w:i/>
        </w:rPr>
        <w:t>Debates</w:t>
      </w:r>
      <w:r w:rsidRPr="001C31EF">
        <w:rPr>
          <w:rFonts w:ascii="Times New Roman" w:hAnsi="Times New Roman"/>
        </w:rPr>
        <w:t xml:space="preserve"> un máximo de 6 mil, incluidas las notas de pie de página y la bibliografía. Se presentan a doble espacio, con márgenes de 2,5 cm, en formato A4, letra </w:t>
      </w:r>
      <w:r w:rsidRPr="001C31EF">
        <w:rPr>
          <w:rFonts w:ascii="Times New Roman" w:hAnsi="Times New Roman"/>
          <w:i/>
        </w:rPr>
        <w:t xml:space="preserve">Times New </w:t>
      </w:r>
      <w:proofErr w:type="spellStart"/>
      <w:r w:rsidRPr="001C31EF">
        <w:rPr>
          <w:rFonts w:ascii="Times New Roman" w:hAnsi="Times New Roman"/>
          <w:i/>
        </w:rPr>
        <w:t>Roman</w:t>
      </w:r>
      <w:proofErr w:type="spellEnd"/>
      <w:r w:rsidRPr="001C31EF">
        <w:rPr>
          <w:rFonts w:ascii="Times New Roman" w:hAnsi="Times New Roman"/>
        </w:rPr>
        <w:t>, número 1</w:t>
      </w:r>
      <w:r w:rsidR="00687E3F" w:rsidRPr="001C31EF">
        <w:rPr>
          <w:rFonts w:ascii="Times New Roman" w:hAnsi="Times New Roman"/>
        </w:rPr>
        <w:t>2</w:t>
      </w:r>
      <w:r w:rsidRPr="001C31EF">
        <w:rPr>
          <w:rFonts w:ascii="Times New Roman" w:hAnsi="Times New Roman"/>
        </w:rPr>
        <w:t xml:space="preserve">, con sangrado en </w:t>
      </w:r>
      <w:r w:rsidR="00687E3F" w:rsidRPr="001C31EF">
        <w:rPr>
          <w:rFonts w:ascii="Times New Roman" w:hAnsi="Times New Roman"/>
        </w:rPr>
        <w:t xml:space="preserve">la primera línea de </w:t>
      </w:r>
      <w:r w:rsidRPr="001C31EF">
        <w:rPr>
          <w:rFonts w:ascii="Times New Roman" w:hAnsi="Times New Roman"/>
        </w:rPr>
        <w:t xml:space="preserve">cada párrafo. </w:t>
      </w:r>
    </w:p>
    <w:p w14:paraId="763FF7C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Las citas textuales de más de cuatro renglones se colocan </w:t>
      </w:r>
      <w:r w:rsidR="00687E3F" w:rsidRPr="001C31EF">
        <w:rPr>
          <w:rFonts w:ascii="Times New Roman" w:hAnsi="Times New Roman"/>
        </w:rPr>
        <w:t xml:space="preserve">en un párrafo aparte, </w:t>
      </w:r>
      <w:r w:rsidRPr="001C31EF">
        <w:rPr>
          <w:rFonts w:ascii="Times New Roman" w:hAnsi="Times New Roman"/>
        </w:rPr>
        <w:t xml:space="preserve">a espacio seguido, con margen reducido y sin sangrado. </w:t>
      </w:r>
    </w:p>
    <w:p w14:paraId="0F10F8D7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Las reseñas contienen hasta 1.500 palabras.</w:t>
      </w:r>
    </w:p>
    <w:p w14:paraId="19271378" w14:textId="08DB8C74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Las notas de pie de página deben aparecer en números arábigos consecutivos, en letra 10, según las pautas de citación indicadas abajo.</w:t>
      </w:r>
    </w:p>
    <w:p w14:paraId="0B22A16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Al final de cada artículo se incluyen los repositorios consultados y la bibliografía empleada, con sangría francesa. </w:t>
      </w:r>
    </w:p>
    <w:p w14:paraId="4A960EAF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artículos pueden incluir hasta dos niveles de subtítulos.</w:t>
      </w:r>
    </w:p>
    <w:p w14:paraId="79BE207E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lastRenderedPageBreak/>
        <w:t>En los casos de reproducción del segmento de una cita, o si a esta le faltan palabras y/o aparecen ilegibles, se recurre a la colocación de corchetes con puntos suspensivos […]. También se emplean los corchetes para incluir letras o palabras que completen el sentido.</w:t>
      </w:r>
    </w:p>
    <w:p w14:paraId="0DF18893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Para referir otras fuentes debe emplearse la palabra “véase”. Evitar los usos de “vid.”, “ver” o “cf.”.</w:t>
      </w:r>
    </w:p>
    <w:p w14:paraId="06111A31" w14:textId="77777777" w:rsidR="00211203" w:rsidRPr="001C31EF" w:rsidRDefault="00687E3F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Las </w:t>
      </w:r>
      <w:r w:rsidR="00211203" w:rsidRPr="001C31EF">
        <w:rPr>
          <w:rFonts w:ascii="Times New Roman" w:hAnsi="Times New Roman"/>
        </w:rPr>
        <w:t>palabras en latín u otro idioma va</w:t>
      </w:r>
      <w:r w:rsidRPr="001C31EF">
        <w:rPr>
          <w:rFonts w:ascii="Times New Roman" w:hAnsi="Times New Roman"/>
        </w:rPr>
        <w:t>n</w:t>
      </w:r>
      <w:r w:rsidR="00211203" w:rsidRPr="001C31EF">
        <w:rPr>
          <w:rFonts w:ascii="Times New Roman" w:hAnsi="Times New Roman"/>
        </w:rPr>
        <w:t xml:space="preserve"> en cursivas. </w:t>
      </w:r>
    </w:p>
    <w:p w14:paraId="59267269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La primera vez que se use una referencia que tenga abreviatura, debe constar el nombre completo, seguido de la sigla entre paréntesis. Luego solo se usará esta última.</w:t>
      </w:r>
    </w:p>
    <w:p w14:paraId="33001138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Todas las tablas, gráficas o ilustraciones deben contar con un pie de identificac</w:t>
      </w:r>
      <w:r w:rsidR="00687E3F" w:rsidRPr="001C31EF">
        <w:rPr>
          <w:rFonts w:ascii="Times New Roman" w:hAnsi="Times New Roman"/>
        </w:rPr>
        <w:t>ión, una numeración consecutiva</w:t>
      </w:r>
      <w:r w:rsidRPr="001C31EF">
        <w:rPr>
          <w:rFonts w:ascii="Times New Roman" w:hAnsi="Times New Roman"/>
        </w:rPr>
        <w:t xml:space="preserve"> y</w:t>
      </w:r>
      <w:r w:rsidR="00687E3F" w:rsidRPr="001C31EF">
        <w:rPr>
          <w:rFonts w:ascii="Times New Roman" w:hAnsi="Times New Roman"/>
        </w:rPr>
        <w:t>,</w:t>
      </w:r>
      <w:r w:rsidRPr="001C31EF">
        <w:rPr>
          <w:rFonts w:ascii="Times New Roman" w:hAnsi="Times New Roman"/>
        </w:rPr>
        <w:t xml:space="preserve"> en caso de remitirlas en archivo adjunto, incluir la referencia del lugar específico de inserción en el texto. </w:t>
      </w:r>
    </w:p>
    <w:p w14:paraId="24A15A7A" w14:textId="77777777" w:rsidR="00211203" w:rsidRPr="001C31EF" w:rsidRDefault="00211203" w:rsidP="00E42D66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Los archivos de fotografías o ilustraciones deben entregarse en formato digital adjunto de 300 DPI.</w:t>
      </w:r>
    </w:p>
    <w:p w14:paraId="5D18B896" w14:textId="77777777" w:rsidR="00687E3F" w:rsidRPr="001C31EF" w:rsidRDefault="00687E3F" w:rsidP="00E42D66">
      <w:pPr>
        <w:spacing w:line="360" w:lineRule="auto"/>
        <w:ind w:left="284"/>
        <w:contextualSpacing/>
        <w:jc w:val="both"/>
        <w:rPr>
          <w:rStyle w:val="Ttulodellibro"/>
          <w:rFonts w:ascii="Times New Roman" w:hAnsi="Times New Roman"/>
          <w:b w:val="0"/>
          <w:bCs w:val="0"/>
          <w:smallCaps w:val="0"/>
          <w:spacing w:val="0"/>
        </w:rPr>
      </w:pPr>
    </w:p>
    <w:p w14:paraId="55542E4D" w14:textId="76E5301B" w:rsidR="00687E3F" w:rsidRPr="00E42D66" w:rsidRDefault="00211203" w:rsidP="00E42D66">
      <w:pPr>
        <w:spacing w:line="360" w:lineRule="auto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Pautas de citación</w:t>
      </w:r>
    </w:p>
    <w:p w14:paraId="09606B62" w14:textId="3FF3EF3E" w:rsidR="00160631" w:rsidRPr="005839C7" w:rsidRDefault="00211203" w:rsidP="005839C7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 partir del número 39, </w:t>
      </w:r>
      <w:proofErr w:type="spellStart"/>
      <w:r w:rsidRPr="001C31EF">
        <w:rPr>
          <w:rFonts w:ascii="Times New Roman" w:hAnsi="Times New Roman"/>
          <w:i/>
        </w:rPr>
        <w:t>Procesos</w:t>
      </w:r>
      <w:r w:rsidR="003F4D37">
        <w:rPr>
          <w:rFonts w:ascii="Times New Roman" w:hAnsi="Times New Roman"/>
          <w:i/>
        </w:rPr>
        <w:t>.R</w:t>
      </w:r>
      <w:r w:rsidRPr="001C31EF">
        <w:rPr>
          <w:rFonts w:ascii="Times New Roman" w:hAnsi="Times New Roman"/>
          <w:i/>
        </w:rPr>
        <w:t>evista</w:t>
      </w:r>
      <w:proofErr w:type="spellEnd"/>
      <w:r w:rsidRPr="001C31EF">
        <w:rPr>
          <w:rFonts w:ascii="Times New Roman" w:hAnsi="Times New Roman"/>
          <w:i/>
        </w:rPr>
        <w:t xml:space="preserve"> </w:t>
      </w:r>
      <w:r w:rsidR="003F4D37">
        <w:rPr>
          <w:rFonts w:ascii="Times New Roman" w:hAnsi="Times New Roman"/>
          <w:i/>
        </w:rPr>
        <w:t>E</w:t>
      </w:r>
      <w:r w:rsidRPr="001C31EF">
        <w:rPr>
          <w:rFonts w:ascii="Times New Roman" w:hAnsi="Times New Roman"/>
          <w:i/>
        </w:rPr>
        <w:t xml:space="preserve">cuatoriana de </w:t>
      </w:r>
      <w:r w:rsidR="003F4D37">
        <w:rPr>
          <w:rFonts w:ascii="Times New Roman" w:hAnsi="Times New Roman"/>
          <w:i/>
        </w:rPr>
        <w:t>H</w:t>
      </w:r>
      <w:r w:rsidRPr="001C31EF">
        <w:rPr>
          <w:rFonts w:ascii="Times New Roman" w:hAnsi="Times New Roman"/>
          <w:i/>
        </w:rPr>
        <w:t>istoria</w:t>
      </w:r>
      <w:r w:rsidRPr="001C31EF">
        <w:rPr>
          <w:rFonts w:ascii="Times New Roman" w:hAnsi="Times New Roman"/>
        </w:rPr>
        <w:t xml:space="preserve"> sigue el sistema de “notas y bibliografía” de </w:t>
      </w:r>
      <w:r w:rsidRPr="001C31EF">
        <w:rPr>
          <w:rFonts w:ascii="Times New Roman" w:hAnsi="Times New Roman"/>
          <w:i/>
        </w:rPr>
        <w:t>El Manual de Chicago Deusto</w:t>
      </w:r>
      <w:r w:rsidRPr="001C31EF">
        <w:rPr>
          <w:rFonts w:ascii="Times New Roman" w:hAnsi="Times New Roman"/>
        </w:rPr>
        <w:t xml:space="preserve"> (Bilbao: Universidad de Deusto, 2013). A continuación se presentan ejemplos sobre la forma de citación. Se emplean las siguientes abreviaturas: cita completa (N); nota abreviada (NA); y bibliografía (B).</w:t>
      </w:r>
    </w:p>
    <w:p w14:paraId="57A91D9E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3044D64" w14:textId="77777777" w:rsidR="00EC5017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Libros</w:t>
      </w:r>
    </w:p>
    <w:p w14:paraId="6719D768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Un solo autor</w:t>
      </w:r>
    </w:p>
    <w:p w14:paraId="6569A811" w14:textId="77777777" w:rsidR="00211203" w:rsidRPr="001C31EF" w:rsidRDefault="00211203" w:rsidP="00E42D6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Jean-Paul-</w:t>
      </w:r>
      <w:proofErr w:type="spellStart"/>
      <w:r w:rsidRPr="001C31EF">
        <w:rPr>
          <w:rFonts w:ascii="Times New Roman" w:hAnsi="Times New Roman"/>
        </w:rPr>
        <w:t>Deler</w:t>
      </w:r>
      <w:proofErr w:type="spellEnd"/>
      <w:r w:rsidRPr="001C31EF">
        <w:rPr>
          <w:rFonts w:ascii="Times New Roman" w:hAnsi="Times New Roman"/>
        </w:rPr>
        <w:t xml:space="preserve">, </w:t>
      </w:r>
      <w:r w:rsidRPr="001C31EF">
        <w:rPr>
          <w:rFonts w:ascii="Times New Roman" w:hAnsi="Times New Roman"/>
          <w:i/>
        </w:rPr>
        <w:t>Ecuador: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del espacio al Estado nacional</w:t>
      </w:r>
      <w:r w:rsidRPr="001C31EF">
        <w:rPr>
          <w:rFonts w:ascii="Times New Roman" w:hAnsi="Times New Roman"/>
        </w:rPr>
        <w:t>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 revisada (Quito: Universidad Andina Simón Bolívar, Sede Ecuador / Instituto Francés de Estudios Andinos / Corporación Editora Nacional, 2007), 124-126.</w:t>
      </w:r>
    </w:p>
    <w:p w14:paraId="2161749C" w14:textId="77777777" w:rsidR="00211203" w:rsidRPr="001C31EF" w:rsidRDefault="00211203" w:rsidP="00E42D66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Deler</w:t>
      </w:r>
      <w:proofErr w:type="spellEnd"/>
      <w:r w:rsidRPr="001C31EF">
        <w:rPr>
          <w:rFonts w:ascii="Times New Roman" w:hAnsi="Times New Roman"/>
        </w:rPr>
        <w:t xml:space="preserve">, </w:t>
      </w:r>
      <w:r w:rsidRPr="001C31EF">
        <w:rPr>
          <w:rFonts w:ascii="Times New Roman" w:hAnsi="Times New Roman"/>
          <w:i/>
        </w:rPr>
        <w:t xml:space="preserve">Ecuador: del espacio </w:t>
      </w:r>
      <w:r w:rsidRPr="001C31EF">
        <w:rPr>
          <w:rFonts w:ascii="Times New Roman" w:hAnsi="Times New Roman"/>
        </w:rPr>
        <w:t>…, 250.</w:t>
      </w:r>
    </w:p>
    <w:p w14:paraId="32C355BF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</w:r>
      <w:r w:rsidRPr="001C31EF">
        <w:rPr>
          <w:rFonts w:ascii="Times New Roman" w:hAnsi="Times New Roman"/>
          <w:u w:val="single"/>
        </w:rPr>
        <w:t>Inmediata.</w:t>
      </w:r>
      <w:r w:rsidRPr="001C31EF">
        <w:rPr>
          <w:rFonts w:ascii="Times New Roman" w:hAnsi="Times New Roman"/>
        </w:rPr>
        <w:t xml:space="preserve"> Ibíd., 114.</w:t>
      </w:r>
    </w:p>
    <w:p w14:paraId="0ABD4865" w14:textId="77777777" w:rsidR="00211203" w:rsidRPr="001C31EF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No usar las expresiones “íd.”, ídem”, “art. cit.”, “loc. cit.”, “</w:t>
      </w:r>
      <w:proofErr w:type="spellStart"/>
      <w:r w:rsidRPr="001C31EF">
        <w:rPr>
          <w:rFonts w:ascii="Times New Roman" w:hAnsi="Times New Roman"/>
        </w:rPr>
        <w:t>op</w:t>
      </w:r>
      <w:proofErr w:type="spellEnd"/>
      <w:r w:rsidRPr="001C31EF">
        <w:rPr>
          <w:rFonts w:ascii="Times New Roman" w:hAnsi="Times New Roman"/>
        </w:rPr>
        <w:t>. cit.”</w:t>
      </w:r>
    </w:p>
    <w:p w14:paraId="1A8F1386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Deler</w:t>
      </w:r>
      <w:proofErr w:type="spellEnd"/>
      <w:r w:rsidRPr="001C31EF">
        <w:rPr>
          <w:rFonts w:ascii="Times New Roman" w:hAnsi="Times New Roman"/>
        </w:rPr>
        <w:t xml:space="preserve">, Jean-Paul. </w:t>
      </w:r>
      <w:r w:rsidRPr="001C31EF">
        <w:rPr>
          <w:rFonts w:ascii="Times New Roman" w:hAnsi="Times New Roman"/>
          <w:i/>
        </w:rPr>
        <w:t>Ecuador:</w:t>
      </w:r>
      <w:r w:rsidRPr="001C31EF">
        <w:rPr>
          <w:rFonts w:ascii="Times New Roman" w:hAnsi="Times New Roman"/>
        </w:rPr>
        <w:t xml:space="preserve"> </w:t>
      </w:r>
      <w:r w:rsidRPr="001C31EF">
        <w:rPr>
          <w:rFonts w:ascii="Times New Roman" w:hAnsi="Times New Roman"/>
          <w:i/>
        </w:rPr>
        <w:t>del espacio al Estado nacional</w:t>
      </w:r>
      <w:r w:rsidRPr="001C31EF">
        <w:rPr>
          <w:rFonts w:ascii="Times New Roman" w:hAnsi="Times New Roman"/>
        </w:rPr>
        <w:t>.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 revisada. Quito: Universidad Andina Simón Bolívar, Sede Ecuador / Instituto Francés de Estudios Andinos / Corporación Editora Nacional, 2004.</w:t>
      </w:r>
    </w:p>
    <w:p w14:paraId="7DECC46E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Dos o tres autores</w:t>
      </w:r>
    </w:p>
    <w:p w14:paraId="7F38BE79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lastRenderedPageBreak/>
        <w:t>(N)</w:t>
      </w:r>
      <w:r w:rsidRPr="001C31EF">
        <w:rPr>
          <w:rFonts w:ascii="Times New Roman" w:hAnsi="Times New Roman"/>
        </w:rPr>
        <w:tab/>
        <w:t xml:space="preserve">Carlos </w:t>
      </w:r>
      <w:proofErr w:type="spellStart"/>
      <w:r w:rsidRPr="001C31EF">
        <w:rPr>
          <w:rFonts w:ascii="Times New Roman" w:hAnsi="Times New Roman"/>
        </w:rPr>
        <w:t>Sempat</w:t>
      </w:r>
      <w:proofErr w:type="spellEnd"/>
      <w:r w:rsidRPr="001C31EF">
        <w:rPr>
          <w:rFonts w:ascii="Times New Roman" w:hAnsi="Times New Roman"/>
        </w:rPr>
        <w:t xml:space="preserve"> </w:t>
      </w:r>
      <w:proofErr w:type="spellStart"/>
      <w:r w:rsidRPr="001C31EF">
        <w:rPr>
          <w:rFonts w:ascii="Times New Roman" w:hAnsi="Times New Roman"/>
        </w:rPr>
        <w:t>Assadourian</w:t>
      </w:r>
      <w:proofErr w:type="spellEnd"/>
      <w:r w:rsidRPr="001C31EF">
        <w:rPr>
          <w:rFonts w:ascii="Times New Roman" w:hAnsi="Times New Roman"/>
        </w:rPr>
        <w:t xml:space="preserve">, Guillermo Beato y José Carlos </w:t>
      </w:r>
      <w:proofErr w:type="spellStart"/>
      <w:r w:rsidRPr="001C31EF">
        <w:rPr>
          <w:rFonts w:ascii="Times New Roman" w:hAnsi="Times New Roman"/>
        </w:rPr>
        <w:t>Chiaramonte</w:t>
      </w:r>
      <w:proofErr w:type="spellEnd"/>
      <w:r w:rsidRPr="001C31EF">
        <w:rPr>
          <w:rFonts w:ascii="Times New Roman" w:hAnsi="Times New Roman"/>
        </w:rPr>
        <w:t xml:space="preserve">, </w:t>
      </w:r>
      <w:r w:rsidRPr="001C31EF">
        <w:rPr>
          <w:rFonts w:ascii="Times New Roman" w:hAnsi="Times New Roman"/>
          <w:i/>
        </w:rPr>
        <w:t>Argentina: De la conquista a la independencia</w:t>
      </w:r>
      <w:r w:rsidRPr="001C31EF">
        <w:rPr>
          <w:rFonts w:ascii="Times New Roman" w:hAnsi="Times New Roman"/>
        </w:rPr>
        <w:t xml:space="preserve">, vol. 2 (Buenos Aires: Paidós, 1992), 192-98. </w:t>
      </w:r>
    </w:p>
    <w:p w14:paraId="3EF01461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Assadourian</w:t>
      </w:r>
      <w:proofErr w:type="spellEnd"/>
      <w:r w:rsidRPr="001C31EF">
        <w:rPr>
          <w:rFonts w:ascii="Times New Roman" w:hAnsi="Times New Roman"/>
        </w:rPr>
        <w:t xml:space="preserve">, Beato y </w:t>
      </w:r>
      <w:proofErr w:type="spellStart"/>
      <w:r w:rsidRPr="001C31EF">
        <w:rPr>
          <w:rFonts w:ascii="Times New Roman" w:hAnsi="Times New Roman"/>
        </w:rPr>
        <w:t>Chiaramonte</w:t>
      </w:r>
      <w:proofErr w:type="spellEnd"/>
      <w:r w:rsidRPr="001C31EF">
        <w:rPr>
          <w:rFonts w:ascii="Times New Roman" w:hAnsi="Times New Roman"/>
        </w:rPr>
        <w:t xml:space="preserve">, </w:t>
      </w:r>
      <w:r w:rsidRPr="001C31EF">
        <w:rPr>
          <w:rFonts w:ascii="Times New Roman" w:hAnsi="Times New Roman"/>
          <w:i/>
        </w:rPr>
        <w:t>Argentina: De la conquista</w:t>
      </w:r>
      <w:r w:rsidRPr="001C31EF">
        <w:rPr>
          <w:rFonts w:ascii="Times New Roman" w:hAnsi="Times New Roman"/>
        </w:rPr>
        <w:t>…, 124.</w:t>
      </w:r>
    </w:p>
    <w:p w14:paraId="1B4AA0C9" w14:textId="77777777" w:rsidR="00DD6E62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Assadourian</w:t>
      </w:r>
      <w:proofErr w:type="spellEnd"/>
      <w:r w:rsidRPr="001C31EF">
        <w:rPr>
          <w:rFonts w:ascii="Times New Roman" w:hAnsi="Times New Roman"/>
        </w:rPr>
        <w:t xml:space="preserve">, Carlos </w:t>
      </w:r>
      <w:proofErr w:type="spellStart"/>
      <w:r w:rsidRPr="001C31EF">
        <w:rPr>
          <w:rFonts w:ascii="Times New Roman" w:hAnsi="Times New Roman"/>
        </w:rPr>
        <w:t>Sempat</w:t>
      </w:r>
      <w:proofErr w:type="spellEnd"/>
      <w:r w:rsidRPr="001C31EF">
        <w:rPr>
          <w:rFonts w:ascii="Times New Roman" w:hAnsi="Times New Roman"/>
        </w:rPr>
        <w:t xml:space="preserve">, Guillermo Beato y José Carlos </w:t>
      </w:r>
      <w:proofErr w:type="spellStart"/>
      <w:r w:rsidRPr="001C31EF">
        <w:rPr>
          <w:rFonts w:ascii="Times New Roman" w:hAnsi="Times New Roman"/>
        </w:rPr>
        <w:t>Chiaramonte</w:t>
      </w:r>
      <w:proofErr w:type="spellEnd"/>
      <w:r w:rsidRPr="001C31EF">
        <w:rPr>
          <w:rFonts w:ascii="Times New Roman" w:hAnsi="Times New Roman"/>
        </w:rPr>
        <w:t xml:space="preserve">. </w:t>
      </w:r>
      <w:r w:rsidRPr="001C31EF">
        <w:rPr>
          <w:rFonts w:ascii="Times New Roman" w:hAnsi="Times New Roman"/>
          <w:i/>
        </w:rPr>
        <w:t>Argentina: De la conquista a la independencia</w:t>
      </w:r>
      <w:r w:rsidRPr="001C31EF">
        <w:rPr>
          <w:rFonts w:ascii="Times New Roman" w:hAnsi="Times New Roman"/>
        </w:rPr>
        <w:t>. Vol. 2. Buenos Aires: Paidós, 1992.</w:t>
      </w:r>
    </w:p>
    <w:p w14:paraId="190706CE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Cuatro o más autores</w:t>
      </w:r>
    </w:p>
    <w:p w14:paraId="3D9CC0C3" w14:textId="77777777" w:rsidR="00211203" w:rsidRPr="001C31EF" w:rsidRDefault="00211203" w:rsidP="00E42D66">
      <w:pPr>
        <w:numPr>
          <w:ilvl w:val="0"/>
          <w:numId w:val="5"/>
        </w:num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  <w:color w:val="000000"/>
        </w:rPr>
        <w:t xml:space="preserve">Magdalena </w:t>
      </w:r>
      <w:proofErr w:type="spellStart"/>
      <w:r w:rsidRPr="001C31EF">
        <w:rPr>
          <w:rFonts w:ascii="Times New Roman" w:hAnsi="Times New Roman"/>
          <w:color w:val="000000"/>
        </w:rPr>
        <w:t>Bertino</w:t>
      </w:r>
      <w:proofErr w:type="spellEnd"/>
      <w:r w:rsidRPr="001C31EF">
        <w:rPr>
          <w:rFonts w:ascii="Times New Roman" w:hAnsi="Times New Roman"/>
          <w:color w:val="000000"/>
        </w:rPr>
        <w:t xml:space="preserve"> et al., </w:t>
      </w:r>
      <w:r w:rsidRPr="001C31EF">
        <w:rPr>
          <w:rFonts w:ascii="Times New Roman" w:hAnsi="Times New Roman"/>
          <w:i/>
          <w:color w:val="000000"/>
        </w:rPr>
        <w:t xml:space="preserve">La economía del primer </w:t>
      </w:r>
      <w:proofErr w:type="spellStart"/>
      <w:r w:rsidRPr="001C31EF">
        <w:rPr>
          <w:rFonts w:ascii="Times New Roman" w:hAnsi="Times New Roman"/>
          <w:i/>
          <w:color w:val="000000"/>
        </w:rPr>
        <w:t>batllismo</w:t>
      </w:r>
      <w:proofErr w:type="spellEnd"/>
      <w:r w:rsidRPr="001C31EF">
        <w:rPr>
          <w:rFonts w:ascii="Times New Roman" w:hAnsi="Times New Roman"/>
          <w:i/>
          <w:color w:val="000000"/>
        </w:rPr>
        <w:t xml:space="preserve"> y los años veinte. Auge y crisis del modelo agroexportador (1911-1930)</w:t>
      </w:r>
      <w:r w:rsidRPr="001C31EF">
        <w:rPr>
          <w:rFonts w:ascii="Times New Roman" w:hAnsi="Times New Roman"/>
          <w:color w:val="000000"/>
        </w:rPr>
        <w:t xml:space="preserve">, t. III de </w:t>
      </w:r>
      <w:r w:rsidRPr="001C31EF">
        <w:rPr>
          <w:rFonts w:ascii="Times New Roman" w:hAnsi="Times New Roman"/>
          <w:i/>
          <w:color w:val="000000"/>
        </w:rPr>
        <w:t>Historia Económica del Uruguay</w:t>
      </w:r>
      <w:r w:rsidRPr="001C31EF">
        <w:rPr>
          <w:rFonts w:ascii="Times New Roman" w:hAnsi="Times New Roman"/>
          <w:color w:val="000000"/>
        </w:rPr>
        <w:t xml:space="preserve"> (Montevideo: Fin de Siglo / Instituto de Economía, Universidad de la República / Banco Central del Uruguay / Banco República, 2005), 62.</w:t>
      </w:r>
    </w:p>
    <w:p w14:paraId="419BCDF5" w14:textId="77777777" w:rsidR="00EC5017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color w:val="000000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  <w:color w:val="000000"/>
        </w:rPr>
        <w:t>Bertino</w:t>
      </w:r>
      <w:proofErr w:type="spellEnd"/>
      <w:r w:rsidRPr="001C31EF">
        <w:rPr>
          <w:rFonts w:ascii="Times New Roman" w:hAnsi="Times New Roman"/>
          <w:color w:val="000000"/>
        </w:rPr>
        <w:t xml:space="preserve">, Magdalena, Reto Bertoni, Héctor </w:t>
      </w:r>
      <w:proofErr w:type="spellStart"/>
      <w:r w:rsidRPr="001C31EF">
        <w:rPr>
          <w:rFonts w:ascii="Times New Roman" w:hAnsi="Times New Roman"/>
          <w:color w:val="000000"/>
        </w:rPr>
        <w:t>Tajam</w:t>
      </w:r>
      <w:proofErr w:type="spellEnd"/>
      <w:r w:rsidRPr="001C31EF">
        <w:rPr>
          <w:rFonts w:ascii="Times New Roman" w:hAnsi="Times New Roman"/>
          <w:color w:val="000000"/>
        </w:rPr>
        <w:t xml:space="preserve"> y Jaime </w:t>
      </w:r>
      <w:proofErr w:type="spellStart"/>
      <w:r w:rsidRPr="001C31EF">
        <w:rPr>
          <w:rFonts w:ascii="Times New Roman" w:hAnsi="Times New Roman"/>
          <w:color w:val="000000"/>
        </w:rPr>
        <w:t>Yaffé</w:t>
      </w:r>
      <w:proofErr w:type="spellEnd"/>
      <w:r w:rsidRPr="001C31EF">
        <w:rPr>
          <w:rFonts w:ascii="Times New Roman" w:hAnsi="Times New Roman"/>
          <w:color w:val="000000"/>
        </w:rPr>
        <w:t xml:space="preserve">. </w:t>
      </w:r>
      <w:r w:rsidRPr="001C31EF">
        <w:rPr>
          <w:rFonts w:ascii="Times New Roman" w:hAnsi="Times New Roman"/>
          <w:i/>
          <w:color w:val="000000"/>
        </w:rPr>
        <w:t xml:space="preserve">La economía del primer </w:t>
      </w:r>
      <w:proofErr w:type="spellStart"/>
      <w:r w:rsidRPr="001C31EF">
        <w:rPr>
          <w:rFonts w:ascii="Times New Roman" w:hAnsi="Times New Roman"/>
          <w:i/>
          <w:color w:val="000000"/>
        </w:rPr>
        <w:t>batllismo</w:t>
      </w:r>
      <w:proofErr w:type="spellEnd"/>
      <w:r w:rsidRPr="001C31EF">
        <w:rPr>
          <w:rFonts w:ascii="Times New Roman" w:hAnsi="Times New Roman"/>
          <w:i/>
          <w:color w:val="000000"/>
        </w:rPr>
        <w:t xml:space="preserve"> y los años veinte. Auge y crisis del modelo agroexportador (1911-1930)</w:t>
      </w:r>
      <w:r w:rsidRPr="001C31EF">
        <w:rPr>
          <w:rFonts w:ascii="Times New Roman" w:hAnsi="Times New Roman"/>
          <w:color w:val="000000"/>
        </w:rPr>
        <w:t xml:space="preserve">. T. III de </w:t>
      </w:r>
      <w:r w:rsidRPr="001C31EF">
        <w:rPr>
          <w:rFonts w:ascii="Times New Roman" w:hAnsi="Times New Roman"/>
          <w:i/>
          <w:color w:val="000000"/>
        </w:rPr>
        <w:t>Historia Económica del Uruguay</w:t>
      </w:r>
      <w:r w:rsidRPr="001C31EF">
        <w:rPr>
          <w:rFonts w:ascii="Times New Roman" w:hAnsi="Times New Roman"/>
          <w:color w:val="000000"/>
        </w:rPr>
        <w:t>. Montevideo: Fin de Siglo / Instituto de Economía, Universidad de la República / Banco Central del Uruguay / Banco República, 2005.</w:t>
      </w:r>
    </w:p>
    <w:p w14:paraId="0B776FD0" w14:textId="77777777" w:rsidR="005839C7" w:rsidRDefault="005839C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6355E61" w14:textId="63F6BB2C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  <w:i/>
        </w:rPr>
        <w:t>Artículos</w:t>
      </w:r>
    </w:p>
    <w:p w14:paraId="58728C39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Capítulo de libro</w:t>
      </w:r>
    </w:p>
    <w:p w14:paraId="3D7A5082" w14:textId="77777777" w:rsidR="00211203" w:rsidRPr="001C31EF" w:rsidRDefault="00211203" w:rsidP="00E42D66">
      <w:pPr>
        <w:numPr>
          <w:ilvl w:val="0"/>
          <w:numId w:val="6"/>
        </w:num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Alonso Valencia, “Importancia de Sucre en la historia de Colombia”. En </w:t>
      </w:r>
      <w:r w:rsidRPr="001C31EF">
        <w:rPr>
          <w:rFonts w:ascii="Times New Roman" w:hAnsi="Times New Roman"/>
          <w:i/>
        </w:rPr>
        <w:t>Sucre soldado y estadista</w:t>
      </w:r>
      <w:r w:rsidRPr="001C31EF">
        <w:rPr>
          <w:rFonts w:ascii="Times New Roman" w:hAnsi="Times New Roman"/>
        </w:rPr>
        <w:t>, ed. por Enrique Ayala Mora,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ed., 53-73. (Quito: Universidad Andina Simón Bolívar, Sede Ecuador / Corporación Editora Nacional, 2009), 164.</w:t>
      </w:r>
    </w:p>
    <w:p w14:paraId="186F50FD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>Valencia, “Importancia de Sucre…”, 280.</w:t>
      </w:r>
    </w:p>
    <w:p w14:paraId="0182B183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Valencia, Alonso. “Importancia de Sucre en la historia de Colombia”. En </w:t>
      </w:r>
      <w:r w:rsidRPr="001C31EF">
        <w:rPr>
          <w:rFonts w:ascii="Times New Roman" w:hAnsi="Times New Roman"/>
          <w:i/>
        </w:rPr>
        <w:t>Sucre soldado y estadista</w:t>
      </w:r>
      <w:r w:rsidRPr="001C31EF">
        <w:rPr>
          <w:rFonts w:ascii="Times New Roman" w:hAnsi="Times New Roman"/>
        </w:rPr>
        <w:t>, editado por Enrique Ayala Mora, 2.</w:t>
      </w:r>
      <w:r w:rsidRPr="001C31EF">
        <w:rPr>
          <w:rFonts w:ascii="Times New Roman" w:hAnsi="Times New Roman"/>
          <w:vertAlign w:val="superscript"/>
        </w:rPr>
        <w:t>a</w:t>
      </w:r>
      <w:r w:rsidRPr="001C31EF">
        <w:rPr>
          <w:rFonts w:ascii="Times New Roman" w:hAnsi="Times New Roman"/>
        </w:rPr>
        <w:t xml:space="preserve"> ed.</w:t>
      </w:r>
      <w:r w:rsidR="00060E59" w:rsidRPr="001C31EF">
        <w:rPr>
          <w:rFonts w:ascii="Times New Roman" w:hAnsi="Times New Roman"/>
        </w:rPr>
        <w:t>,</w:t>
      </w:r>
      <w:r w:rsidRPr="001C31EF">
        <w:rPr>
          <w:rFonts w:ascii="Times New Roman" w:hAnsi="Times New Roman"/>
        </w:rPr>
        <w:t xml:space="preserve"> </w:t>
      </w:r>
      <w:r w:rsidR="00060E59" w:rsidRPr="001C31EF">
        <w:rPr>
          <w:rFonts w:ascii="Times New Roman" w:hAnsi="Times New Roman"/>
        </w:rPr>
        <w:t xml:space="preserve">53-73. </w:t>
      </w:r>
      <w:r w:rsidRPr="001C31EF">
        <w:rPr>
          <w:rFonts w:ascii="Times New Roman" w:hAnsi="Times New Roman"/>
        </w:rPr>
        <w:t>Quito: Universidad Andina Simón Bolívar, Sede Ecuador / Corporación Editora Nacional, 2009.</w:t>
      </w:r>
    </w:p>
    <w:p w14:paraId="0DE09987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  <w:u w:val="single"/>
        </w:rPr>
        <w:t>Artículo de revista</w:t>
      </w:r>
    </w:p>
    <w:p w14:paraId="7C6E8697" w14:textId="77777777" w:rsidR="00211203" w:rsidRPr="001C31EF" w:rsidRDefault="00211203" w:rsidP="00E42D66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Daniel Gutiérrez Ardila, “El arrepentimiento de un revolucionario: José Manuel Restrepo en tiempos de la Reconquista (1816-1819)”, </w:t>
      </w:r>
      <w:r w:rsidRPr="001C31EF">
        <w:rPr>
          <w:rFonts w:ascii="Times New Roman" w:hAnsi="Times New Roman"/>
          <w:i/>
        </w:rPr>
        <w:t>Anuario Colombiano de Historia Social y de la Cultura</w:t>
      </w:r>
      <w:r w:rsidRPr="001C31EF">
        <w:rPr>
          <w:rFonts w:ascii="Times New Roman" w:hAnsi="Times New Roman"/>
        </w:rPr>
        <w:t xml:space="preserve"> 40,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2 (julio-diciembre 2013): 54-56.</w:t>
      </w:r>
    </w:p>
    <w:p w14:paraId="372E3D30" w14:textId="77777777" w:rsidR="00211203" w:rsidRPr="001C31EF" w:rsidRDefault="00211203" w:rsidP="00E42D66">
      <w:pPr>
        <w:spacing w:line="360" w:lineRule="auto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(NA)</w:t>
      </w:r>
      <w:r w:rsidRPr="001C31EF">
        <w:rPr>
          <w:rFonts w:ascii="Times New Roman" w:hAnsi="Times New Roman"/>
        </w:rPr>
        <w:tab/>
        <w:t>Gutiérrez Ardila, “El arrepentimiento…”, 74.</w:t>
      </w:r>
    </w:p>
    <w:p w14:paraId="18AEA047" w14:textId="0C2DFD6F" w:rsidR="005839C7" w:rsidRDefault="00211203" w:rsidP="003F4D37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Gutiérrez Ardila, Daniel. “El arrepentimiento de un revolucionario: José Manuel Restrepo en tiempos de la Reconquista (1816-1819)”. </w:t>
      </w:r>
      <w:r w:rsidRPr="001C31EF">
        <w:rPr>
          <w:rFonts w:ascii="Times New Roman" w:hAnsi="Times New Roman"/>
          <w:i/>
        </w:rPr>
        <w:t>Anuario Colombiano de Historia Social y de la Cultura</w:t>
      </w:r>
      <w:r w:rsidRPr="001C31EF">
        <w:rPr>
          <w:rFonts w:ascii="Times New Roman" w:hAnsi="Times New Roman"/>
        </w:rPr>
        <w:t xml:space="preserve"> 40,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2 (julio-diciembre 2013): 49-76.</w:t>
      </w:r>
    </w:p>
    <w:p w14:paraId="7E478F8B" w14:textId="77777777" w:rsidR="005839C7" w:rsidRPr="001C31EF" w:rsidRDefault="005839C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</w:p>
    <w:p w14:paraId="4806655F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  <w:i/>
        </w:rPr>
        <w:lastRenderedPageBreak/>
        <w:t>Publicaciones obtenidas de Internet (con referencia DOI)</w:t>
      </w:r>
    </w:p>
    <w:p w14:paraId="386BB5BE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  <w:t xml:space="preserve">Nicolás Quiroga, “Blogs de historia: usos y posibilidades”,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43 (ene.-abr. 2011): 73, doi:10.7440/histcrit43.2011.05.</w:t>
      </w:r>
    </w:p>
    <w:p w14:paraId="172817C3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(B) </w:t>
      </w:r>
      <w:r w:rsidRPr="001C31EF">
        <w:rPr>
          <w:rFonts w:ascii="Times New Roman" w:hAnsi="Times New Roman"/>
        </w:rPr>
        <w:tab/>
        <w:t xml:space="preserve">Quiroga, Nicolás. “Blogs de historia: usos y posibilidades”,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43 (ene.-abr. 2011): 62-80, doi:10.7440/histcrit43.2011.05.</w:t>
      </w:r>
    </w:p>
    <w:p w14:paraId="3F537248" w14:textId="77777777" w:rsidR="00290568" w:rsidRDefault="0029056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2426D0B6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Publicaciones obtenidas de Internet (con referencia URL)</w:t>
      </w:r>
    </w:p>
    <w:p w14:paraId="0021918A" w14:textId="61F7FD7D" w:rsidR="00211203" w:rsidRPr="001C31EF" w:rsidRDefault="00EC501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(N) </w:t>
      </w:r>
      <w:r w:rsidRPr="001C31EF">
        <w:rPr>
          <w:rFonts w:ascii="Times New Roman" w:hAnsi="Times New Roman"/>
        </w:rPr>
        <w:tab/>
        <w:t xml:space="preserve">Amy </w:t>
      </w:r>
      <w:proofErr w:type="spellStart"/>
      <w:r w:rsidRPr="001C31EF">
        <w:rPr>
          <w:rFonts w:ascii="Times New Roman" w:hAnsi="Times New Roman"/>
        </w:rPr>
        <w:t>Taxin</w:t>
      </w:r>
      <w:proofErr w:type="spellEnd"/>
      <w:r w:rsidR="00211203" w:rsidRPr="001C31EF">
        <w:rPr>
          <w:rFonts w:ascii="Times New Roman" w:hAnsi="Times New Roman"/>
        </w:rPr>
        <w:t xml:space="preserve">, “La participación de la mujer en la Independencia: el caso de Manuela Sáenz”, </w:t>
      </w:r>
      <w:r w:rsidR="00211203" w:rsidRPr="001C31EF">
        <w:rPr>
          <w:rFonts w:ascii="Times New Roman" w:hAnsi="Times New Roman"/>
          <w:i/>
        </w:rPr>
        <w:t>Procesos: revista ecuatoriana de historia</w:t>
      </w:r>
      <w:r w:rsidR="00211203" w:rsidRPr="001C31EF">
        <w:rPr>
          <w:rFonts w:ascii="Times New Roman" w:hAnsi="Times New Roman"/>
        </w:rPr>
        <w:t>, n.</w:t>
      </w:r>
      <w:r w:rsidR="00211203" w:rsidRPr="001C31EF">
        <w:rPr>
          <w:rFonts w:ascii="Times New Roman" w:hAnsi="Times New Roman"/>
          <w:vertAlign w:val="superscript"/>
        </w:rPr>
        <w:t>o</w:t>
      </w:r>
      <w:r w:rsidR="00211203" w:rsidRPr="001C31EF">
        <w:rPr>
          <w:rFonts w:ascii="Times New Roman" w:hAnsi="Times New Roman"/>
        </w:rPr>
        <w:t xml:space="preserve"> 14 (1999): 86, </w:t>
      </w:r>
      <w:r w:rsidR="00795513" w:rsidRPr="00795513">
        <w:rPr>
          <w:rFonts w:ascii="Times New Roman" w:hAnsi="Times New Roman"/>
        </w:rPr>
        <w:t>http://revistaprocesos.ec/ojs/index.php/ojs/article/view/323/390</w:t>
      </w:r>
      <w:r w:rsidR="003F67CB">
        <w:rPr>
          <w:rFonts w:ascii="Times New Roman" w:hAnsi="Times New Roman"/>
        </w:rPr>
        <w:t>.</w:t>
      </w:r>
    </w:p>
    <w:p w14:paraId="22D9102F" w14:textId="29F9FFB3" w:rsidR="00EC5017" w:rsidRPr="00795513" w:rsidRDefault="00EC5017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Taxin</w:t>
      </w:r>
      <w:proofErr w:type="spellEnd"/>
      <w:r w:rsidR="00211203" w:rsidRPr="001C31EF">
        <w:rPr>
          <w:rFonts w:ascii="Times New Roman" w:hAnsi="Times New Roman"/>
        </w:rPr>
        <w:t xml:space="preserve">, Amy. “La participación de la mujer en la Independencia: el caso de Manuela Sáenz”. </w:t>
      </w:r>
      <w:r w:rsidR="00795513" w:rsidRPr="00795513">
        <w:rPr>
          <w:rFonts w:ascii="Times New Roman" w:hAnsi="Times New Roman"/>
        </w:rPr>
        <w:t>http://revistaprocesos.ec/ojs/index.php/ojs/article/view/323/390</w:t>
      </w:r>
      <w:r w:rsidR="003F67CB">
        <w:rPr>
          <w:rFonts w:ascii="Times New Roman" w:hAnsi="Times New Roman"/>
        </w:rPr>
        <w:t>.</w:t>
      </w:r>
    </w:p>
    <w:p w14:paraId="284A23FD" w14:textId="77777777" w:rsidR="00290568" w:rsidRDefault="00290568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7C4EA5A0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Artículos de prensa (con firma de autor)</w:t>
      </w:r>
    </w:p>
    <w:p w14:paraId="7034EF72" w14:textId="77777777" w:rsidR="00211203" w:rsidRPr="001C31EF" w:rsidRDefault="00211203" w:rsidP="00E42D66">
      <w:pPr>
        <w:numPr>
          <w:ilvl w:val="0"/>
          <w:numId w:val="8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Luciano Andrade Marín, “El remiendo en el cuartel de los Limeños”, </w:t>
      </w:r>
      <w:r w:rsidRPr="001C31EF">
        <w:rPr>
          <w:rFonts w:ascii="Times New Roman" w:hAnsi="Times New Roman"/>
          <w:i/>
        </w:rPr>
        <w:t>El Comercio</w:t>
      </w:r>
      <w:r w:rsidRPr="001C31EF">
        <w:rPr>
          <w:rFonts w:ascii="Times New Roman" w:hAnsi="Times New Roman"/>
        </w:rPr>
        <w:t>, 1 de junio de 1964: 4.</w:t>
      </w:r>
    </w:p>
    <w:p w14:paraId="39D2E03A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 xml:space="preserve">Andrade Marín, Luciano. “El remiendo en el cuartel de los Limeños”. </w:t>
      </w:r>
      <w:r w:rsidRPr="001C31EF">
        <w:rPr>
          <w:rFonts w:ascii="Times New Roman" w:hAnsi="Times New Roman"/>
          <w:i/>
        </w:rPr>
        <w:t>El Comercio</w:t>
      </w:r>
      <w:r w:rsidRPr="001C31EF">
        <w:rPr>
          <w:rFonts w:ascii="Times New Roman" w:hAnsi="Times New Roman"/>
        </w:rPr>
        <w:t>. 1 de junio de 1964, 4.</w:t>
      </w:r>
    </w:p>
    <w:p w14:paraId="69F0D5A1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5740630B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Artículos de prensa (sin firma de autor)</w:t>
      </w:r>
    </w:p>
    <w:p w14:paraId="5C2489DE" w14:textId="77777777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(N)</w:t>
      </w:r>
      <w:r w:rsidRPr="001C31EF">
        <w:rPr>
          <w:rFonts w:ascii="Times New Roman" w:hAnsi="Times New Roman"/>
        </w:rPr>
        <w:tab/>
        <w:t xml:space="preserve"> “La cuestión muelle de Guayaquil”, </w:t>
      </w:r>
      <w:r w:rsidRPr="001C31EF">
        <w:rPr>
          <w:rFonts w:ascii="Times New Roman" w:hAnsi="Times New Roman"/>
          <w:i/>
        </w:rPr>
        <w:t>El Telégrafo</w:t>
      </w:r>
      <w:r w:rsidRPr="001C31EF">
        <w:rPr>
          <w:rFonts w:ascii="Times New Roman" w:hAnsi="Times New Roman"/>
        </w:rPr>
        <w:t>, 28 de septiembre de 1920: 1.</w:t>
      </w:r>
    </w:p>
    <w:p w14:paraId="00C9E092" w14:textId="77777777" w:rsidR="00DD6E62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vertAlign w:val="superscript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r w:rsidRPr="001C31EF">
        <w:rPr>
          <w:rFonts w:ascii="Times New Roman" w:hAnsi="Times New Roman"/>
          <w:i/>
        </w:rPr>
        <w:t>El Telégrafo</w:t>
      </w:r>
      <w:r w:rsidRPr="001C31EF">
        <w:rPr>
          <w:rFonts w:ascii="Times New Roman" w:hAnsi="Times New Roman"/>
        </w:rPr>
        <w:t>. “La cuestión muelle de Guayaquil”. 28 de septiembre de 1920: 1.</w:t>
      </w:r>
    </w:p>
    <w:p w14:paraId="727288A2" w14:textId="77777777" w:rsidR="00E42D66" w:rsidRPr="001C31EF" w:rsidRDefault="00E42D66" w:rsidP="00E42D66">
      <w:pPr>
        <w:spacing w:line="360" w:lineRule="auto"/>
        <w:contextualSpacing/>
        <w:jc w:val="both"/>
        <w:rPr>
          <w:rFonts w:ascii="Times New Roman" w:hAnsi="Times New Roman"/>
          <w:vertAlign w:val="superscript"/>
        </w:rPr>
      </w:pPr>
    </w:p>
    <w:p w14:paraId="5FD45148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Tesis y documentos inéditos</w:t>
      </w:r>
    </w:p>
    <w:p w14:paraId="6F3F2898" w14:textId="77777777" w:rsidR="00211203" w:rsidRPr="001C31EF" w:rsidRDefault="00211203" w:rsidP="00E42D66">
      <w:pPr>
        <w:spacing w:line="360" w:lineRule="auto"/>
        <w:ind w:left="709" w:hanging="709"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(N) </w:t>
      </w:r>
      <w:r w:rsidRPr="001C31EF">
        <w:rPr>
          <w:rFonts w:ascii="Times New Roman" w:hAnsi="Times New Roman"/>
        </w:rPr>
        <w:tab/>
        <w:t>Rocío Rueda Novoa, “De esclavizados a comuneros en la cuenca aurífera del Río Santiago - Río Cayapas (Esmeraldas). Etnicidad negra en construcció</w:t>
      </w:r>
      <w:r w:rsidR="00412DCA">
        <w:rPr>
          <w:rFonts w:ascii="Times New Roman" w:hAnsi="Times New Roman"/>
        </w:rPr>
        <w:t>n en Ecuador siglos XVIII- XIX”</w:t>
      </w:r>
      <w:r w:rsidRPr="001C31EF">
        <w:rPr>
          <w:rFonts w:ascii="Times New Roman" w:hAnsi="Times New Roman"/>
        </w:rPr>
        <w:t xml:space="preserve"> (tesis de doctorado, Universidad Andina Simón Bolívar, Sede Ecuador, 2010), 30, http://repositorio.uasb.edu.ec/bitstream/10644/2815/1/TD011-DH-Rueda-De%20esclavizados.pdf.</w:t>
      </w:r>
    </w:p>
    <w:p w14:paraId="65054F92" w14:textId="77777777" w:rsidR="00211203" w:rsidRPr="001C31EF" w:rsidRDefault="00211203" w:rsidP="00E42D66">
      <w:pPr>
        <w:spacing w:line="360" w:lineRule="auto"/>
        <w:ind w:left="700" w:hanging="70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  <w:t>Rueda Novoa, Rocío. “De esclavizados a comuneros en la cuenca aurífera del Río Santiago - Río Cayapas (Esmeraldas). Etnicidad negra en construcción en Ecuador siglos XVIII- XIX”. Tesis de doctorado. Universidad Andina Simón Bolívar, Sede Ecuador. 2010. http://repositorio.uasb.edu.ec/bitstream/10644/2815/1/TD011-DH-Rueda-De%20esclavizados.pdf.</w:t>
      </w:r>
    </w:p>
    <w:p w14:paraId="17CA73BA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4CC65852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Entrevistas publicadas</w:t>
      </w:r>
    </w:p>
    <w:p w14:paraId="70373301" w14:textId="4062D08C" w:rsidR="00211203" w:rsidRPr="001C31EF" w:rsidRDefault="00211203" w:rsidP="00E42D66">
      <w:pPr>
        <w:numPr>
          <w:ilvl w:val="0"/>
          <w:numId w:val="9"/>
        </w:numPr>
        <w:spacing w:line="360" w:lineRule="auto"/>
        <w:ind w:hanging="720"/>
        <w:jc w:val="both"/>
        <w:rPr>
          <w:rFonts w:ascii="Times New Roman" w:eastAsia="Times New Roman" w:hAnsi="Times New Roman"/>
        </w:rPr>
      </w:pPr>
      <w:r w:rsidRPr="001C31EF">
        <w:rPr>
          <w:rFonts w:ascii="Times New Roman" w:hAnsi="Times New Roman"/>
        </w:rPr>
        <w:t xml:space="preserve">François </w:t>
      </w:r>
      <w:proofErr w:type="spellStart"/>
      <w:r w:rsidRPr="001C31EF">
        <w:rPr>
          <w:rFonts w:ascii="Times New Roman" w:hAnsi="Times New Roman"/>
        </w:rPr>
        <w:t>Hartog</w:t>
      </w:r>
      <w:proofErr w:type="spellEnd"/>
      <w:r w:rsidRPr="001C31EF">
        <w:rPr>
          <w:rFonts w:ascii="Times New Roman" w:hAnsi="Times New Roman"/>
        </w:rPr>
        <w:t xml:space="preserve">, entrevistado por Renán Silva,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</w:t>
      </w:r>
      <w:r w:rsidR="005576F9">
        <w:rPr>
          <w:rFonts w:ascii="Times New Roman" w:hAnsi="Times New Roman"/>
        </w:rPr>
        <w:t>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48, (sep.-dic. 2012): 209.</w:t>
      </w:r>
    </w:p>
    <w:p w14:paraId="10AC98D0" w14:textId="73E2018F" w:rsidR="00211203" w:rsidRPr="001C31EF" w:rsidRDefault="00211203" w:rsidP="00E42D66">
      <w:pPr>
        <w:spacing w:line="360" w:lineRule="auto"/>
        <w:ind w:left="709" w:hanging="709"/>
        <w:contextualSpacing/>
        <w:jc w:val="both"/>
        <w:rPr>
          <w:rFonts w:ascii="Times New Roman" w:hAnsi="Times New Roman"/>
          <w:u w:val="single"/>
        </w:rPr>
      </w:pPr>
      <w:r w:rsidRPr="001C31EF">
        <w:rPr>
          <w:rFonts w:ascii="Times New Roman" w:hAnsi="Times New Roman"/>
        </w:rPr>
        <w:t>(B)</w:t>
      </w:r>
      <w:r w:rsidRPr="001C31EF">
        <w:rPr>
          <w:rFonts w:ascii="Times New Roman" w:hAnsi="Times New Roman"/>
        </w:rPr>
        <w:tab/>
      </w:r>
      <w:proofErr w:type="spellStart"/>
      <w:r w:rsidRPr="001C31EF">
        <w:rPr>
          <w:rFonts w:ascii="Times New Roman" w:hAnsi="Times New Roman"/>
        </w:rPr>
        <w:t>Hartog</w:t>
      </w:r>
      <w:proofErr w:type="spellEnd"/>
      <w:r w:rsidRPr="001C31EF">
        <w:rPr>
          <w:rFonts w:ascii="Times New Roman" w:hAnsi="Times New Roman"/>
        </w:rPr>
        <w:t xml:space="preserve">, François. Entrevistado por Renán Silva. </w:t>
      </w:r>
      <w:r w:rsidRPr="001C31EF">
        <w:rPr>
          <w:rFonts w:ascii="Times New Roman" w:hAnsi="Times New Roman"/>
          <w:i/>
        </w:rPr>
        <w:t>Historia Crítica</w:t>
      </w:r>
      <w:r w:rsidRPr="001C31EF">
        <w:rPr>
          <w:rFonts w:ascii="Times New Roman" w:hAnsi="Times New Roman"/>
        </w:rPr>
        <w:t>, n</w:t>
      </w:r>
      <w:r w:rsidR="005576F9">
        <w:rPr>
          <w:rFonts w:ascii="Times New Roman" w:hAnsi="Times New Roman"/>
        </w:rPr>
        <w:t>.</w:t>
      </w:r>
      <w:r w:rsidRPr="001C31EF">
        <w:rPr>
          <w:rFonts w:ascii="Times New Roman" w:hAnsi="Times New Roman"/>
          <w:vertAlign w:val="superscript"/>
        </w:rPr>
        <w:t>o</w:t>
      </w:r>
      <w:r w:rsidRPr="001C31EF">
        <w:rPr>
          <w:rFonts w:ascii="Times New Roman" w:hAnsi="Times New Roman"/>
        </w:rPr>
        <w:t xml:space="preserve"> 48, (sep.-dic. 2012): 208-214.</w:t>
      </w:r>
    </w:p>
    <w:p w14:paraId="486F2952" w14:textId="77777777" w:rsidR="00EC5017" w:rsidRPr="001C31EF" w:rsidRDefault="00EC5017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B910CBF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Comunicaciones personales</w:t>
      </w:r>
    </w:p>
    <w:p w14:paraId="36A2F30C" w14:textId="77777777" w:rsidR="00211203" w:rsidRPr="001C31EF" w:rsidRDefault="00211203" w:rsidP="00E42D66">
      <w:pPr>
        <w:numPr>
          <w:ilvl w:val="0"/>
          <w:numId w:val="10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Frank </w:t>
      </w:r>
      <w:proofErr w:type="spellStart"/>
      <w:r w:rsidRPr="001C31EF">
        <w:rPr>
          <w:rFonts w:ascii="Times New Roman" w:hAnsi="Times New Roman"/>
        </w:rPr>
        <w:t>Salomon</w:t>
      </w:r>
      <w:proofErr w:type="spellEnd"/>
      <w:r w:rsidRPr="001C31EF">
        <w:rPr>
          <w:rFonts w:ascii="Times New Roman" w:hAnsi="Times New Roman"/>
        </w:rPr>
        <w:t xml:space="preserve"> (docente de la Universidad de </w:t>
      </w:r>
      <w:proofErr w:type="spellStart"/>
      <w:r w:rsidRPr="001C31EF">
        <w:rPr>
          <w:rFonts w:ascii="Times New Roman" w:hAnsi="Times New Roman"/>
        </w:rPr>
        <w:t>Winsconsin</w:t>
      </w:r>
      <w:proofErr w:type="spellEnd"/>
      <w:r w:rsidRPr="001C31EF">
        <w:rPr>
          <w:rFonts w:ascii="Times New Roman" w:hAnsi="Times New Roman"/>
        </w:rPr>
        <w:t>, Madison), en conversación con el autor, junio de 2013.</w:t>
      </w:r>
    </w:p>
    <w:p w14:paraId="2EF0A743" w14:textId="77777777" w:rsidR="00E42D66" w:rsidRPr="001C31EF" w:rsidRDefault="00E42D66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1CDB49C5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Fuentes inéditas de archivo</w:t>
      </w:r>
    </w:p>
    <w:p w14:paraId="23A9D054" w14:textId="1935EF0A" w:rsidR="00211203" w:rsidRPr="001C31EF" w:rsidRDefault="00211203" w:rsidP="00E42D66">
      <w:pPr>
        <w:numPr>
          <w:ilvl w:val="0"/>
          <w:numId w:val="11"/>
        </w:numPr>
        <w:spacing w:line="360" w:lineRule="auto"/>
        <w:ind w:hanging="720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José Gabriel Pérez, “Informe al Mariscal Antonio José de Sucre, </w:t>
      </w:r>
      <w:proofErr w:type="spellStart"/>
      <w:r w:rsidRPr="001C31EF">
        <w:rPr>
          <w:rFonts w:ascii="Times New Roman" w:hAnsi="Times New Roman"/>
        </w:rPr>
        <w:t>Yntendente</w:t>
      </w:r>
      <w:proofErr w:type="spellEnd"/>
      <w:r w:rsidRPr="001C31EF">
        <w:rPr>
          <w:rFonts w:ascii="Times New Roman" w:hAnsi="Times New Roman"/>
        </w:rPr>
        <w:t xml:space="preserve"> del departamento de Quito”, Guayaquil, 29 de julio de 1822</w:t>
      </w:r>
      <w:r w:rsidR="003F4D37">
        <w:rPr>
          <w:rFonts w:ascii="Times New Roman" w:hAnsi="Times New Roman"/>
        </w:rPr>
        <w:t>.</w:t>
      </w:r>
      <w:r w:rsidRPr="001C31EF">
        <w:rPr>
          <w:rFonts w:ascii="Times New Roman" w:hAnsi="Times New Roman"/>
        </w:rPr>
        <w:t xml:space="preserve"> Archivo Nacional del Ecuador (ANE), fondo </w:t>
      </w:r>
      <w:r w:rsidRPr="001C31EF">
        <w:rPr>
          <w:rFonts w:ascii="Times New Roman" w:hAnsi="Times New Roman"/>
          <w:i/>
        </w:rPr>
        <w:t>Presidencia de Quito</w:t>
      </w:r>
      <w:r w:rsidRPr="001C31EF">
        <w:rPr>
          <w:rFonts w:ascii="Times New Roman" w:hAnsi="Times New Roman"/>
        </w:rPr>
        <w:t xml:space="preserve">, caja 595, </w:t>
      </w:r>
      <w:proofErr w:type="spellStart"/>
      <w:r w:rsidRPr="001C31EF">
        <w:rPr>
          <w:rFonts w:ascii="Times New Roman" w:hAnsi="Times New Roman"/>
        </w:rPr>
        <w:t>ff</w:t>
      </w:r>
      <w:proofErr w:type="spellEnd"/>
      <w:r w:rsidRPr="001C31EF">
        <w:rPr>
          <w:rFonts w:ascii="Times New Roman" w:hAnsi="Times New Roman"/>
        </w:rPr>
        <w:t xml:space="preserve">. 28-33. </w:t>
      </w:r>
    </w:p>
    <w:p w14:paraId="0102BE70" w14:textId="77777777" w:rsidR="00A82AFC" w:rsidRPr="001C31EF" w:rsidRDefault="00A82AFC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</w:p>
    <w:p w14:paraId="61508CE0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1C31EF">
        <w:rPr>
          <w:rFonts w:ascii="Times New Roman" w:hAnsi="Times New Roman"/>
          <w:i/>
        </w:rPr>
        <w:t>Archivos consultados</w:t>
      </w:r>
    </w:p>
    <w:p w14:paraId="6A39646F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 xml:space="preserve">Deben presentarse al final del artículo, antes de la bibliografía consultada: </w:t>
      </w:r>
    </w:p>
    <w:p w14:paraId="36CEF3AE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3C672FA1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Archivo Nacional del Ecuador</w:t>
      </w:r>
      <w:r w:rsidR="00EC5017" w:rsidRPr="001C31EF">
        <w:rPr>
          <w:rFonts w:ascii="Times New Roman" w:hAnsi="Times New Roman"/>
        </w:rPr>
        <w:t xml:space="preserve"> (ANE)</w:t>
      </w:r>
    </w:p>
    <w:p w14:paraId="5D9B1006" w14:textId="77777777" w:rsidR="00211203" w:rsidRPr="001C31EF" w:rsidRDefault="00211203" w:rsidP="00E42D66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Fondo Presidencia de Quito</w:t>
      </w:r>
    </w:p>
    <w:p w14:paraId="20C29C89" w14:textId="77777777" w:rsidR="00211203" w:rsidRPr="001C31EF" w:rsidRDefault="00211203" w:rsidP="00E42D66">
      <w:pPr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Fondo Notarial</w:t>
      </w:r>
    </w:p>
    <w:p w14:paraId="64FBEBE4" w14:textId="77777777" w:rsidR="00211203" w:rsidRPr="001C31EF" w:rsidRDefault="00211203" w:rsidP="00E42D66">
      <w:pPr>
        <w:spacing w:line="360" w:lineRule="auto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Archivo Metropolitano de Historia de Quito</w:t>
      </w:r>
      <w:r w:rsidR="00EC5017" w:rsidRPr="001C31EF">
        <w:rPr>
          <w:rFonts w:ascii="Times New Roman" w:hAnsi="Times New Roman"/>
        </w:rPr>
        <w:t xml:space="preserve"> (AMHQ)</w:t>
      </w:r>
    </w:p>
    <w:p w14:paraId="2F95658B" w14:textId="1E4D52C6" w:rsidR="00211203" w:rsidRPr="001C31EF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Sección Secretaría Municipal</w:t>
      </w:r>
    </w:p>
    <w:p w14:paraId="11654590" w14:textId="176D3C84" w:rsidR="00211203" w:rsidRPr="00DD6E62" w:rsidRDefault="00211203" w:rsidP="00E42D66">
      <w:pPr>
        <w:spacing w:line="360" w:lineRule="auto"/>
        <w:ind w:left="709"/>
        <w:contextualSpacing/>
        <w:jc w:val="both"/>
        <w:rPr>
          <w:rFonts w:ascii="Times New Roman" w:hAnsi="Times New Roman"/>
        </w:rPr>
      </w:pPr>
      <w:r w:rsidRPr="001C31EF">
        <w:rPr>
          <w:rFonts w:ascii="Times New Roman" w:hAnsi="Times New Roman"/>
        </w:rPr>
        <w:t>Sección Sindicatura o Procuraduría</w:t>
      </w:r>
    </w:p>
    <w:sectPr w:rsidR="00211203" w:rsidRPr="00DD6E62" w:rsidSect="005839C7"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F32F" w14:textId="77777777" w:rsidR="00964911" w:rsidRDefault="00964911" w:rsidP="002B543D">
      <w:r>
        <w:separator/>
      </w:r>
    </w:p>
  </w:endnote>
  <w:endnote w:type="continuationSeparator" w:id="0">
    <w:p w14:paraId="5D5535FB" w14:textId="77777777" w:rsidR="00964911" w:rsidRDefault="00964911" w:rsidP="002B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DA13" w14:textId="77777777" w:rsidR="00EC5017" w:rsidRDefault="00EC5017" w:rsidP="00DD6E6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BCEA5C" w14:textId="77777777" w:rsidR="00EC5017" w:rsidRDefault="00EC5017" w:rsidP="002B54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71DB" w14:textId="3001F2CD" w:rsidR="00EC5017" w:rsidRDefault="00EC5017" w:rsidP="00DD6E6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8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87A285" w14:textId="77777777" w:rsidR="00EC5017" w:rsidRDefault="00EC5017" w:rsidP="002B54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C54A" w14:textId="77777777" w:rsidR="00964911" w:rsidRDefault="00964911" w:rsidP="002B543D">
      <w:r>
        <w:separator/>
      </w:r>
    </w:p>
  </w:footnote>
  <w:footnote w:type="continuationSeparator" w:id="0">
    <w:p w14:paraId="7143237B" w14:textId="77777777" w:rsidR="00964911" w:rsidRDefault="00964911" w:rsidP="002B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1359" w14:textId="11936E24" w:rsidR="00615899" w:rsidRDefault="00615899">
    <w:pPr>
      <w:pStyle w:val="Encabezado"/>
    </w:pPr>
    <w:r>
      <w:rPr>
        <w:noProof/>
        <w:lang w:val="es-EC" w:eastAsia="es-EC"/>
      </w:rPr>
      <w:drawing>
        <wp:inline distT="0" distB="0" distL="0" distR="0" wp14:anchorId="5FF510A6" wp14:editId="578CABA3">
          <wp:extent cx="1524000" cy="990600"/>
          <wp:effectExtent l="0" t="0" r="0" b="0"/>
          <wp:docPr id="1" name="Imagen 1" descr="C:\Users\korquera\Pictures\Procesos\120727LogoProcesosActualiz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orquera\Pictures\Procesos\120727LogoProcesosActuali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2B"/>
    <w:multiLevelType w:val="hybridMultilevel"/>
    <w:tmpl w:val="D20A7054"/>
    <w:lvl w:ilvl="0" w:tplc="B4665B18">
      <w:start w:val="14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2CF0"/>
    <w:multiLevelType w:val="hybridMultilevel"/>
    <w:tmpl w:val="2EFA7D56"/>
    <w:lvl w:ilvl="0" w:tplc="702847AE">
      <w:start w:val="14"/>
      <w:numFmt w:val="upperLetter"/>
      <w:lvlText w:val="(%1)"/>
      <w:lvlJc w:val="left"/>
      <w:pPr>
        <w:ind w:left="5676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6396" w:hanging="360"/>
      </w:pPr>
    </w:lvl>
    <w:lvl w:ilvl="2" w:tplc="0C0A001B" w:tentative="1">
      <w:start w:val="1"/>
      <w:numFmt w:val="lowerRoman"/>
      <w:lvlText w:val="%3."/>
      <w:lvlJc w:val="right"/>
      <w:pPr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0B060923"/>
    <w:multiLevelType w:val="hybridMultilevel"/>
    <w:tmpl w:val="081A2DC6"/>
    <w:lvl w:ilvl="0" w:tplc="5CF469FA">
      <w:start w:val="14"/>
      <w:numFmt w:val="upp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574B7"/>
    <w:multiLevelType w:val="hybridMultilevel"/>
    <w:tmpl w:val="C5D61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59B3"/>
    <w:multiLevelType w:val="hybridMultilevel"/>
    <w:tmpl w:val="FA04F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D2C"/>
    <w:multiLevelType w:val="hybridMultilevel"/>
    <w:tmpl w:val="F61E8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24A"/>
    <w:multiLevelType w:val="hybridMultilevel"/>
    <w:tmpl w:val="0E4C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7433"/>
    <w:multiLevelType w:val="hybridMultilevel"/>
    <w:tmpl w:val="005C28BC"/>
    <w:lvl w:ilvl="0" w:tplc="1AA6C404">
      <w:start w:val="14"/>
      <w:numFmt w:val="upperLetter"/>
      <w:lvlText w:val="(%1)"/>
      <w:lvlJc w:val="left"/>
      <w:pPr>
        <w:ind w:left="720" w:hanging="360"/>
      </w:pPr>
      <w:rPr>
        <w:rFonts w:eastAsia="MS Mincho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0D87"/>
    <w:multiLevelType w:val="hybridMultilevel"/>
    <w:tmpl w:val="77AA4E64"/>
    <w:lvl w:ilvl="0" w:tplc="A00EA120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E14"/>
    <w:multiLevelType w:val="hybridMultilevel"/>
    <w:tmpl w:val="7736C550"/>
    <w:lvl w:ilvl="0" w:tplc="CAC43DE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1059"/>
    <w:multiLevelType w:val="hybridMultilevel"/>
    <w:tmpl w:val="C714DA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0A2C"/>
    <w:multiLevelType w:val="hybridMultilevel"/>
    <w:tmpl w:val="2236C634"/>
    <w:lvl w:ilvl="0" w:tplc="86CA9E3E">
      <w:start w:val="1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3351"/>
    <w:multiLevelType w:val="hybridMultilevel"/>
    <w:tmpl w:val="0DA01A90"/>
    <w:lvl w:ilvl="0" w:tplc="6EE6FF12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504E"/>
    <w:multiLevelType w:val="hybridMultilevel"/>
    <w:tmpl w:val="1AD6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2203"/>
    <w:multiLevelType w:val="hybridMultilevel"/>
    <w:tmpl w:val="60AC026E"/>
    <w:lvl w:ilvl="0" w:tplc="B2C84620">
      <w:start w:val="14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86"/>
    <w:rsid w:val="00004D3B"/>
    <w:rsid w:val="00012189"/>
    <w:rsid w:val="00041586"/>
    <w:rsid w:val="00042C66"/>
    <w:rsid w:val="00045938"/>
    <w:rsid w:val="00047F10"/>
    <w:rsid w:val="00060E59"/>
    <w:rsid w:val="000756AD"/>
    <w:rsid w:val="000852AE"/>
    <w:rsid w:val="000920B4"/>
    <w:rsid w:val="000C4FDE"/>
    <w:rsid w:val="0010539A"/>
    <w:rsid w:val="001438ED"/>
    <w:rsid w:val="00154155"/>
    <w:rsid w:val="00160631"/>
    <w:rsid w:val="001815A9"/>
    <w:rsid w:val="001B0B53"/>
    <w:rsid w:val="001C31EF"/>
    <w:rsid w:val="001D0EF1"/>
    <w:rsid w:val="001D3877"/>
    <w:rsid w:val="00201352"/>
    <w:rsid w:val="00211203"/>
    <w:rsid w:val="00212088"/>
    <w:rsid w:val="00272211"/>
    <w:rsid w:val="0028480A"/>
    <w:rsid w:val="00290568"/>
    <w:rsid w:val="002B543D"/>
    <w:rsid w:val="002C2CB0"/>
    <w:rsid w:val="002D2821"/>
    <w:rsid w:val="002D52CD"/>
    <w:rsid w:val="002D5F2A"/>
    <w:rsid w:val="002D64DB"/>
    <w:rsid w:val="002F1783"/>
    <w:rsid w:val="00321BD0"/>
    <w:rsid w:val="00362126"/>
    <w:rsid w:val="003662FC"/>
    <w:rsid w:val="00386E13"/>
    <w:rsid w:val="003B75F2"/>
    <w:rsid w:val="003E0C63"/>
    <w:rsid w:val="003F4D37"/>
    <w:rsid w:val="003F67CB"/>
    <w:rsid w:val="004043DD"/>
    <w:rsid w:val="00407E6C"/>
    <w:rsid w:val="00412DCA"/>
    <w:rsid w:val="004229A9"/>
    <w:rsid w:val="00424138"/>
    <w:rsid w:val="00432326"/>
    <w:rsid w:val="00440FBC"/>
    <w:rsid w:val="004534DF"/>
    <w:rsid w:val="00466016"/>
    <w:rsid w:val="004664DE"/>
    <w:rsid w:val="004A6E99"/>
    <w:rsid w:val="004D5D1A"/>
    <w:rsid w:val="0050710D"/>
    <w:rsid w:val="00520247"/>
    <w:rsid w:val="0052452B"/>
    <w:rsid w:val="00526C30"/>
    <w:rsid w:val="00530400"/>
    <w:rsid w:val="005403B1"/>
    <w:rsid w:val="00544A6F"/>
    <w:rsid w:val="0055188A"/>
    <w:rsid w:val="005544A8"/>
    <w:rsid w:val="00555E7F"/>
    <w:rsid w:val="005576F9"/>
    <w:rsid w:val="0057050B"/>
    <w:rsid w:val="005839C7"/>
    <w:rsid w:val="00594C46"/>
    <w:rsid w:val="005A514B"/>
    <w:rsid w:val="005F4B7A"/>
    <w:rsid w:val="00615899"/>
    <w:rsid w:val="00621BE0"/>
    <w:rsid w:val="00625836"/>
    <w:rsid w:val="006272F0"/>
    <w:rsid w:val="00630AD3"/>
    <w:rsid w:val="00686EA9"/>
    <w:rsid w:val="00687E3F"/>
    <w:rsid w:val="006A27E9"/>
    <w:rsid w:val="006C2018"/>
    <w:rsid w:val="006E2413"/>
    <w:rsid w:val="006E5F72"/>
    <w:rsid w:val="006E77F1"/>
    <w:rsid w:val="00727752"/>
    <w:rsid w:val="00754759"/>
    <w:rsid w:val="00782AC0"/>
    <w:rsid w:val="00795513"/>
    <w:rsid w:val="007B69AA"/>
    <w:rsid w:val="00815566"/>
    <w:rsid w:val="008345A9"/>
    <w:rsid w:val="00861CD8"/>
    <w:rsid w:val="00894517"/>
    <w:rsid w:val="008C1060"/>
    <w:rsid w:val="008F570F"/>
    <w:rsid w:val="00901734"/>
    <w:rsid w:val="00902623"/>
    <w:rsid w:val="0094750C"/>
    <w:rsid w:val="00947A1B"/>
    <w:rsid w:val="00950425"/>
    <w:rsid w:val="00964911"/>
    <w:rsid w:val="009856F5"/>
    <w:rsid w:val="009920E5"/>
    <w:rsid w:val="00994C12"/>
    <w:rsid w:val="009C3FDD"/>
    <w:rsid w:val="009D451F"/>
    <w:rsid w:val="009D5A37"/>
    <w:rsid w:val="00A125FC"/>
    <w:rsid w:val="00A230E4"/>
    <w:rsid w:val="00A6281E"/>
    <w:rsid w:val="00A82AFC"/>
    <w:rsid w:val="00AA070D"/>
    <w:rsid w:val="00AD4897"/>
    <w:rsid w:val="00B125B2"/>
    <w:rsid w:val="00B271A0"/>
    <w:rsid w:val="00B3300E"/>
    <w:rsid w:val="00B75230"/>
    <w:rsid w:val="00B76EF3"/>
    <w:rsid w:val="00BA213F"/>
    <w:rsid w:val="00BC5A15"/>
    <w:rsid w:val="00BD039C"/>
    <w:rsid w:val="00BE3794"/>
    <w:rsid w:val="00C06643"/>
    <w:rsid w:val="00C112A0"/>
    <w:rsid w:val="00C35099"/>
    <w:rsid w:val="00C50DA0"/>
    <w:rsid w:val="00C55A2A"/>
    <w:rsid w:val="00C60CCF"/>
    <w:rsid w:val="00C63957"/>
    <w:rsid w:val="00C81463"/>
    <w:rsid w:val="00C87008"/>
    <w:rsid w:val="00CB0F66"/>
    <w:rsid w:val="00D67D10"/>
    <w:rsid w:val="00D81CED"/>
    <w:rsid w:val="00DA26A8"/>
    <w:rsid w:val="00DC7ED9"/>
    <w:rsid w:val="00DD2877"/>
    <w:rsid w:val="00DD6E62"/>
    <w:rsid w:val="00E42D66"/>
    <w:rsid w:val="00E52040"/>
    <w:rsid w:val="00E627B6"/>
    <w:rsid w:val="00E7252B"/>
    <w:rsid w:val="00E815BC"/>
    <w:rsid w:val="00E92127"/>
    <w:rsid w:val="00E93038"/>
    <w:rsid w:val="00E94148"/>
    <w:rsid w:val="00EB0D79"/>
    <w:rsid w:val="00EC5017"/>
    <w:rsid w:val="00ED7925"/>
    <w:rsid w:val="00EF62C9"/>
    <w:rsid w:val="00F277E3"/>
    <w:rsid w:val="00F45B4B"/>
    <w:rsid w:val="00F53C97"/>
    <w:rsid w:val="00F60D69"/>
    <w:rsid w:val="00F61DB9"/>
    <w:rsid w:val="00F64D3C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A01C19"/>
  <w14:defaultImageDpi w14:val="300"/>
  <w15:docId w15:val="{AF9C1900-971E-B449-8F42-6CA8DF5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8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4158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B54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543D"/>
    <w:rPr>
      <w:rFonts w:eastAsia="MS Mincho"/>
      <w:sz w:val="24"/>
      <w:szCs w:val="24"/>
    </w:rPr>
  </w:style>
  <w:style w:type="character" w:styleId="Nmerodepgina">
    <w:name w:val="page number"/>
    <w:uiPriority w:val="99"/>
    <w:semiHidden/>
    <w:unhideWhenUsed/>
    <w:rsid w:val="002B543D"/>
  </w:style>
  <w:style w:type="character" w:styleId="Hipervnculovisitado">
    <w:name w:val="FollowedHyperlink"/>
    <w:uiPriority w:val="99"/>
    <w:semiHidden/>
    <w:unhideWhenUsed/>
    <w:rsid w:val="00ED7925"/>
    <w:rPr>
      <w:color w:val="800080"/>
      <w:u w:val="single"/>
    </w:rPr>
  </w:style>
  <w:style w:type="character" w:styleId="Ttulodellibro">
    <w:name w:val="Book Title"/>
    <w:uiPriority w:val="33"/>
    <w:qFormat/>
    <w:rsid w:val="00211203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57050B"/>
  </w:style>
  <w:style w:type="character" w:customStyle="1" w:styleId="TextonotapieCar">
    <w:name w:val="Texto nota pie Car"/>
    <w:link w:val="Textonotapie"/>
    <w:uiPriority w:val="99"/>
    <w:rsid w:val="0057050B"/>
    <w:rPr>
      <w:rFonts w:eastAsia="MS Mincho"/>
      <w:sz w:val="24"/>
      <w:szCs w:val="24"/>
    </w:rPr>
  </w:style>
  <w:style w:type="character" w:styleId="Refdenotaalpie">
    <w:name w:val="footnote reference"/>
    <w:uiPriority w:val="99"/>
    <w:unhideWhenUsed/>
    <w:rsid w:val="0057050B"/>
    <w:rPr>
      <w:vertAlign w:val="superscript"/>
    </w:rPr>
  </w:style>
  <w:style w:type="paragraph" w:styleId="Prrafodelista">
    <w:name w:val="List Paragraph"/>
    <w:basedOn w:val="Normal"/>
    <w:uiPriority w:val="34"/>
    <w:qFormat/>
    <w:rsid w:val="008945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89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DED99E4-F835-4A0F-82F8-CA3FDAB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Paulina Vasquez</cp:lastModifiedBy>
  <cp:revision>4</cp:revision>
  <cp:lastPrinted>2016-01-18T16:58:00Z</cp:lastPrinted>
  <dcterms:created xsi:type="dcterms:W3CDTF">2020-11-23T03:29:00Z</dcterms:created>
  <dcterms:modified xsi:type="dcterms:W3CDTF">2021-03-01T18:52:00Z</dcterms:modified>
</cp:coreProperties>
</file>