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5FC0" w14:textId="0AD05B00" w:rsidR="00E815BC" w:rsidRPr="00F61DB9" w:rsidRDefault="00E815BC" w:rsidP="00E42D66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4100513" w14:textId="71BED955" w:rsidR="006E77F1" w:rsidRPr="001C31EF" w:rsidRDefault="003438A8" w:rsidP="00E42D66">
      <w:pPr>
        <w:spacing w:line="360" w:lineRule="auto"/>
        <w:jc w:val="center"/>
        <w:rPr>
          <w:rStyle w:val="Ttulodellibro"/>
          <w:rFonts w:ascii="Times New Roman" w:hAnsi="Times New Roman"/>
        </w:rPr>
      </w:pPr>
      <w:r>
        <w:rPr>
          <w:rStyle w:val="Ttulodellibro"/>
          <w:rFonts w:ascii="Times New Roman" w:hAnsi="Times New Roman"/>
        </w:rPr>
        <w:t>citación chicago</w:t>
      </w:r>
    </w:p>
    <w:p w14:paraId="759F4AFB" w14:textId="2C941F11" w:rsidR="00E815BC" w:rsidRPr="001C31EF" w:rsidRDefault="00DD6E62" w:rsidP="00E42D66">
      <w:pPr>
        <w:spacing w:line="360" w:lineRule="auto"/>
        <w:jc w:val="center"/>
        <w:rPr>
          <w:rFonts w:ascii="Times New Roman" w:hAnsi="Times New Roman"/>
          <w:b/>
          <w:bCs/>
          <w:i/>
          <w:smallCaps/>
          <w:spacing w:val="5"/>
        </w:rPr>
      </w:pPr>
      <w:r w:rsidRPr="001C31EF">
        <w:rPr>
          <w:rStyle w:val="Ttulodellibro"/>
          <w:rFonts w:ascii="Times New Roman" w:hAnsi="Times New Roman"/>
          <w:i/>
        </w:rPr>
        <w:t>Procesos</w:t>
      </w:r>
      <w:r w:rsidR="009D451F">
        <w:rPr>
          <w:rStyle w:val="Ttulodellibro"/>
          <w:rFonts w:ascii="Times New Roman" w:hAnsi="Times New Roman"/>
          <w:i/>
        </w:rPr>
        <w:t>.</w:t>
      </w:r>
      <w:r w:rsidRPr="001C31EF">
        <w:rPr>
          <w:rStyle w:val="Ttulodellibro"/>
          <w:rFonts w:ascii="Times New Roman" w:hAnsi="Times New Roman"/>
          <w:i/>
        </w:rPr>
        <w:t xml:space="preserve"> </w:t>
      </w:r>
      <w:r w:rsidR="00B125B2">
        <w:rPr>
          <w:rStyle w:val="Ttulodellibro"/>
          <w:rFonts w:ascii="Times New Roman" w:hAnsi="Times New Roman"/>
          <w:i/>
        </w:rPr>
        <w:t>R</w:t>
      </w:r>
      <w:r w:rsidRPr="001C31EF">
        <w:rPr>
          <w:rStyle w:val="Ttulodellibro"/>
          <w:rFonts w:ascii="Times New Roman" w:hAnsi="Times New Roman"/>
          <w:i/>
        </w:rPr>
        <w:t>evista ecuatoriana de historia</w:t>
      </w:r>
    </w:p>
    <w:p w14:paraId="50660E50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</w:t>
      </w:r>
      <w:r w:rsidR="00687E3F" w:rsidRPr="001C31EF">
        <w:rPr>
          <w:rFonts w:ascii="Times New Roman" w:hAnsi="Times New Roman"/>
        </w:rPr>
        <w:t>os artículos propuestos para la</w:t>
      </w:r>
      <w:r w:rsidRPr="001C31EF">
        <w:rPr>
          <w:rFonts w:ascii="Times New Roman" w:hAnsi="Times New Roman"/>
        </w:rPr>
        <w:t xml:space="preserve"> secci</w:t>
      </w:r>
      <w:r w:rsidR="00687E3F" w:rsidRPr="001C31EF">
        <w:rPr>
          <w:rFonts w:ascii="Times New Roman" w:hAnsi="Times New Roman"/>
        </w:rPr>
        <w:t>ón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Estudios</w:t>
      </w:r>
      <w:r w:rsidRPr="001C31EF">
        <w:rPr>
          <w:rFonts w:ascii="Times New Roman" w:hAnsi="Times New Roman"/>
        </w:rPr>
        <w:t xml:space="preserve"> deben observar el límite de 11 mil palabras; y para </w:t>
      </w:r>
      <w:r w:rsidRPr="001C31EF">
        <w:rPr>
          <w:rFonts w:ascii="Times New Roman" w:hAnsi="Times New Roman"/>
          <w:i/>
        </w:rPr>
        <w:t>Debates</w:t>
      </w:r>
      <w:r w:rsidRPr="001C31EF">
        <w:rPr>
          <w:rFonts w:ascii="Times New Roman" w:hAnsi="Times New Roman"/>
        </w:rPr>
        <w:t xml:space="preserve"> un máximo de 6 mil, incluidas las notas de pie de página y la bibliografía. Se presentan a doble espacio, con márgenes de 2,5 cm, en formato A4, letra </w:t>
      </w:r>
      <w:r w:rsidRPr="001C31EF">
        <w:rPr>
          <w:rFonts w:ascii="Times New Roman" w:hAnsi="Times New Roman"/>
          <w:i/>
        </w:rPr>
        <w:t>Times New Roman</w:t>
      </w:r>
      <w:r w:rsidRPr="001C31EF">
        <w:rPr>
          <w:rFonts w:ascii="Times New Roman" w:hAnsi="Times New Roman"/>
        </w:rPr>
        <w:t>, número 1</w:t>
      </w:r>
      <w:r w:rsidR="00687E3F" w:rsidRPr="001C31EF">
        <w:rPr>
          <w:rFonts w:ascii="Times New Roman" w:hAnsi="Times New Roman"/>
        </w:rPr>
        <w:t>2</w:t>
      </w:r>
      <w:r w:rsidRPr="001C31EF">
        <w:rPr>
          <w:rFonts w:ascii="Times New Roman" w:hAnsi="Times New Roman"/>
        </w:rPr>
        <w:t xml:space="preserve">, con sangrado en </w:t>
      </w:r>
      <w:r w:rsidR="00687E3F" w:rsidRPr="001C31EF">
        <w:rPr>
          <w:rFonts w:ascii="Times New Roman" w:hAnsi="Times New Roman"/>
        </w:rPr>
        <w:t xml:space="preserve">la primera línea de </w:t>
      </w:r>
      <w:r w:rsidRPr="001C31EF">
        <w:rPr>
          <w:rFonts w:ascii="Times New Roman" w:hAnsi="Times New Roman"/>
        </w:rPr>
        <w:t xml:space="preserve">cada párrafo. </w:t>
      </w:r>
    </w:p>
    <w:p w14:paraId="763FF7C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Las citas textuales de más de cuatro renglones se colocan </w:t>
      </w:r>
      <w:r w:rsidR="00687E3F" w:rsidRPr="001C31EF">
        <w:rPr>
          <w:rFonts w:ascii="Times New Roman" w:hAnsi="Times New Roman"/>
        </w:rPr>
        <w:t xml:space="preserve">en un párrafo aparte, </w:t>
      </w:r>
      <w:r w:rsidRPr="001C31EF">
        <w:rPr>
          <w:rFonts w:ascii="Times New Roman" w:hAnsi="Times New Roman"/>
        </w:rPr>
        <w:t xml:space="preserve">a espacio seguido, con margen reducido y sin sangrado. </w:t>
      </w:r>
    </w:p>
    <w:p w14:paraId="0F10F8D7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Las reseñas contienen hasta 1.500 palabras.</w:t>
      </w:r>
    </w:p>
    <w:p w14:paraId="19271378" w14:textId="08DB8C74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Las notas de pie de página deben aparecer en números arábigos consecutivos, en letra 10, según las pautas de citación indicadas abajo.</w:t>
      </w:r>
    </w:p>
    <w:p w14:paraId="0B22A16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Al final de cada artículo se incluyen los repositorios consultados y la bibliografía empleada, con sangría francesa. </w:t>
      </w:r>
    </w:p>
    <w:p w14:paraId="4A960EAF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artículos pueden incluir hasta dos niveles de subtítulos.</w:t>
      </w:r>
    </w:p>
    <w:p w14:paraId="79BE207E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En los casos de reproducción del segmento de una cita, o si a esta le faltan palabras y/o aparecen ilegibles, se recurre a la colocación de corchetes con puntos suspensivos […]. También se emplean los corchetes para incluir letras o palabras que completen el sentido.</w:t>
      </w:r>
    </w:p>
    <w:p w14:paraId="0DF1889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Para referir otras fuentes debe emplearse la palabra “véase”. Evitar los usos de “vid.”, “ver” o “cf.”.</w:t>
      </w:r>
    </w:p>
    <w:p w14:paraId="06111A31" w14:textId="77777777" w:rsidR="00211203" w:rsidRPr="001C31EF" w:rsidRDefault="00687E3F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Las </w:t>
      </w:r>
      <w:r w:rsidR="00211203" w:rsidRPr="001C31EF">
        <w:rPr>
          <w:rFonts w:ascii="Times New Roman" w:hAnsi="Times New Roman"/>
        </w:rPr>
        <w:t>palabras en latín u otro idioma va</w:t>
      </w:r>
      <w:r w:rsidRPr="001C31EF">
        <w:rPr>
          <w:rFonts w:ascii="Times New Roman" w:hAnsi="Times New Roman"/>
        </w:rPr>
        <w:t>n</w:t>
      </w:r>
      <w:r w:rsidR="00211203" w:rsidRPr="001C31EF">
        <w:rPr>
          <w:rFonts w:ascii="Times New Roman" w:hAnsi="Times New Roman"/>
        </w:rPr>
        <w:t xml:space="preserve"> en cursivas. </w:t>
      </w:r>
    </w:p>
    <w:p w14:paraId="59267269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 primera vez que se use una referencia que tenga abreviatura, debe constar el nombre completo, seguido de la sigla entre paréntesis. Luego solo se usará esta última.</w:t>
      </w:r>
    </w:p>
    <w:p w14:paraId="33001138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Todas las tablas, gráficas o ilustraciones deben contar con un pie de identificac</w:t>
      </w:r>
      <w:r w:rsidR="00687E3F" w:rsidRPr="001C31EF">
        <w:rPr>
          <w:rFonts w:ascii="Times New Roman" w:hAnsi="Times New Roman"/>
        </w:rPr>
        <w:t>ión, una numeración consecutiva</w:t>
      </w:r>
      <w:r w:rsidRPr="001C31EF">
        <w:rPr>
          <w:rFonts w:ascii="Times New Roman" w:hAnsi="Times New Roman"/>
        </w:rPr>
        <w:t xml:space="preserve"> y</w:t>
      </w:r>
      <w:r w:rsidR="00687E3F" w:rsidRPr="001C31EF">
        <w:rPr>
          <w:rFonts w:ascii="Times New Roman" w:hAnsi="Times New Roman"/>
        </w:rPr>
        <w:t>,</w:t>
      </w:r>
      <w:r w:rsidRPr="001C31EF">
        <w:rPr>
          <w:rFonts w:ascii="Times New Roman" w:hAnsi="Times New Roman"/>
        </w:rPr>
        <w:t xml:space="preserve"> en caso de remitirlas en archivo adjunto, incluir la referencia del lugar específico de inserción en el texto. </w:t>
      </w:r>
    </w:p>
    <w:p w14:paraId="24A15A7A" w14:textId="0715C0B5" w:rsidR="00211203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archivos de fotografías o ilustraciones deben entregarse en formato digital adjunto de 300 DPI.</w:t>
      </w:r>
    </w:p>
    <w:p w14:paraId="688E933A" w14:textId="33D0D2AC" w:rsidR="0002317D" w:rsidRDefault="0002317D" w:rsidP="0002317D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D2EE154" w14:textId="77777777" w:rsidR="0002317D" w:rsidRPr="001C31EF" w:rsidRDefault="0002317D" w:rsidP="0002317D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5D18B896" w14:textId="77777777" w:rsidR="00687E3F" w:rsidRPr="001C31EF" w:rsidRDefault="00687E3F" w:rsidP="00E42D66">
      <w:pPr>
        <w:spacing w:line="360" w:lineRule="auto"/>
        <w:ind w:left="284"/>
        <w:contextualSpacing/>
        <w:jc w:val="both"/>
        <w:rPr>
          <w:rStyle w:val="Ttulodellibro"/>
          <w:rFonts w:ascii="Times New Roman" w:hAnsi="Times New Roman"/>
          <w:b w:val="0"/>
          <w:bCs w:val="0"/>
          <w:smallCaps w:val="0"/>
          <w:spacing w:val="0"/>
        </w:rPr>
      </w:pPr>
    </w:p>
    <w:p w14:paraId="55542E4D" w14:textId="76E5301B" w:rsidR="00687E3F" w:rsidRPr="003438A8" w:rsidRDefault="00211203" w:rsidP="00E42D66">
      <w:pPr>
        <w:spacing w:line="360" w:lineRule="auto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lastRenderedPageBreak/>
        <w:t>Pautas de citación</w:t>
      </w:r>
    </w:p>
    <w:p w14:paraId="09606B62" w14:textId="3FF3EF3E" w:rsidR="00160631" w:rsidRPr="005839C7" w:rsidRDefault="00211203" w:rsidP="005839C7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 partir del número 39, </w:t>
      </w:r>
      <w:r w:rsidRPr="001C31EF">
        <w:rPr>
          <w:rFonts w:ascii="Times New Roman" w:hAnsi="Times New Roman"/>
          <w:i/>
        </w:rPr>
        <w:t>Procesos</w:t>
      </w:r>
      <w:r w:rsidR="003F4D37">
        <w:rPr>
          <w:rFonts w:ascii="Times New Roman" w:hAnsi="Times New Roman"/>
          <w:i/>
        </w:rPr>
        <w:t>.R</w:t>
      </w:r>
      <w:r w:rsidRPr="001C31EF">
        <w:rPr>
          <w:rFonts w:ascii="Times New Roman" w:hAnsi="Times New Roman"/>
          <w:i/>
        </w:rPr>
        <w:t xml:space="preserve">evista </w:t>
      </w:r>
      <w:r w:rsidR="003F4D37">
        <w:rPr>
          <w:rFonts w:ascii="Times New Roman" w:hAnsi="Times New Roman"/>
          <w:i/>
        </w:rPr>
        <w:t>E</w:t>
      </w:r>
      <w:r w:rsidRPr="001C31EF">
        <w:rPr>
          <w:rFonts w:ascii="Times New Roman" w:hAnsi="Times New Roman"/>
          <w:i/>
        </w:rPr>
        <w:t xml:space="preserve">cuatoriana de </w:t>
      </w:r>
      <w:r w:rsidR="003F4D37">
        <w:rPr>
          <w:rFonts w:ascii="Times New Roman" w:hAnsi="Times New Roman"/>
          <w:i/>
        </w:rPr>
        <w:t>H</w:t>
      </w:r>
      <w:r w:rsidRPr="001C31EF">
        <w:rPr>
          <w:rFonts w:ascii="Times New Roman" w:hAnsi="Times New Roman"/>
          <w:i/>
        </w:rPr>
        <w:t>istoria</w:t>
      </w:r>
      <w:r w:rsidRPr="001C31EF">
        <w:rPr>
          <w:rFonts w:ascii="Times New Roman" w:hAnsi="Times New Roman"/>
        </w:rPr>
        <w:t xml:space="preserve"> sigue el sistema de “notas y bibliografía” de </w:t>
      </w:r>
      <w:r w:rsidRPr="001C31EF">
        <w:rPr>
          <w:rFonts w:ascii="Times New Roman" w:hAnsi="Times New Roman"/>
          <w:i/>
        </w:rPr>
        <w:t>El Manual de Chicago Deusto</w:t>
      </w:r>
      <w:r w:rsidRPr="001C31EF">
        <w:rPr>
          <w:rFonts w:ascii="Times New Roman" w:hAnsi="Times New Roman"/>
        </w:rPr>
        <w:t xml:space="preserve"> (Bilbao: Universidad de Deusto, 2013). A continuación se presentan ejemplos sobre la forma de citación. Se emplean las siguientes abreviaturas: cita completa (N); nota abreviada (NA); y bibliografía (B).</w:t>
      </w:r>
    </w:p>
    <w:p w14:paraId="57A91D9E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3044D64" w14:textId="77777777" w:rsidR="00EC5017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Libros</w:t>
      </w:r>
    </w:p>
    <w:p w14:paraId="6719D768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Un solo autor</w:t>
      </w:r>
    </w:p>
    <w:p w14:paraId="6569A811" w14:textId="77777777" w:rsidR="00211203" w:rsidRPr="001C31EF" w:rsidRDefault="00211203" w:rsidP="00E42D6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Jean-Paul-Deler, </w:t>
      </w:r>
      <w:r w:rsidRPr="001C31EF">
        <w:rPr>
          <w:rFonts w:ascii="Times New Roman" w:hAnsi="Times New Roman"/>
          <w:i/>
        </w:rPr>
        <w:t>Ecuador: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del espacio al Estado nacional</w:t>
      </w:r>
      <w:r w:rsidRPr="001C31EF">
        <w:rPr>
          <w:rFonts w:ascii="Times New Roman" w:hAnsi="Times New Roman"/>
        </w:rPr>
        <w:t>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 revisada (Quito: Universidad Andina Simón Bolívar, Sede Ecuador / Instituto Francés de Estudios Andinos / Corporación Editora Nacional, 2007), 124-126.</w:t>
      </w:r>
    </w:p>
    <w:p w14:paraId="2161749C" w14:textId="77777777" w:rsidR="00211203" w:rsidRPr="001C31EF" w:rsidRDefault="00211203" w:rsidP="00E42D66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 xml:space="preserve">Deler, </w:t>
      </w:r>
      <w:r w:rsidRPr="001C31EF">
        <w:rPr>
          <w:rFonts w:ascii="Times New Roman" w:hAnsi="Times New Roman"/>
          <w:i/>
        </w:rPr>
        <w:t xml:space="preserve">Ecuador: del espacio </w:t>
      </w:r>
      <w:r w:rsidRPr="001C31EF">
        <w:rPr>
          <w:rFonts w:ascii="Times New Roman" w:hAnsi="Times New Roman"/>
        </w:rPr>
        <w:t>…, 250.</w:t>
      </w:r>
    </w:p>
    <w:p w14:paraId="32C355BF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</w:r>
      <w:r w:rsidRPr="001C31EF">
        <w:rPr>
          <w:rFonts w:ascii="Times New Roman" w:hAnsi="Times New Roman"/>
          <w:u w:val="single"/>
        </w:rPr>
        <w:t>Inmediata.</w:t>
      </w:r>
      <w:r w:rsidRPr="001C31EF">
        <w:rPr>
          <w:rFonts w:ascii="Times New Roman" w:hAnsi="Times New Roman"/>
        </w:rPr>
        <w:t xml:space="preserve"> Ibíd., 114.</w:t>
      </w:r>
    </w:p>
    <w:p w14:paraId="0ABD4865" w14:textId="77777777" w:rsidR="00211203" w:rsidRPr="001C31EF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No usar las expresiones “íd.”, ídem”, “art. cit.”, “loc. cit.”, “op. cit.”</w:t>
      </w:r>
    </w:p>
    <w:p w14:paraId="1A8F1386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Deler, Jean-Paul. </w:t>
      </w:r>
      <w:r w:rsidRPr="001C31EF">
        <w:rPr>
          <w:rFonts w:ascii="Times New Roman" w:hAnsi="Times New Roman"/>
          <w:i/>
        </w:rPr>
        <w:t>Ecuador: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del espacio al Estado nacional</w:t>
      </w:r>
      <w:r w:rsidRPr="001C31EF">
        <w:rPr>
          <w:rFonts w:ascii="Times New Roman" w:hAnsi="Times New Roman"/>
        </w:rPr>
        <w:t>.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 revisada. Quito: Universidad Andina Simón Bolívar, Sede Ecuador / Instituto Francés de Estudios Andinos / Corporación Editora Nacional, 2004.</w:t>
      </w:r>
    </w:p>
    <w:p w14:paraId="7DECC46E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Dos o tres autores</w:t>
      </w:r>
    </w:p>
    <w:p w14:paraId="7F38BE79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  <w:t xml:space="preserve">Carlos Sempat Assadourian, Guillermo Beato y José Carlos Chiaramonte, </w:t>
      </w:r>
      <w:r w:rsidRPr="001C31EF">
        <w:rPr>
          <w:rFonts w:ascii="Times New Roman" w:hAnsi="Times New Roman"/>
          <w:i/>
        </w:rPr>
        <w:t>Argentina: De la conquista a la independencia</w:t>
      </w:r>
      <w:r w:rsidRPr="001C31EF">
        <w:rPr>
          <w:rFonts w:ascii="Times New Roman" w:hAnsi="Times New Roman"/>
        </w:rPr>
        <w:t xml:space="preserve">, vol. 2 (Buenos Aires: Paidós, 1992), 192-98. </w:t>
      </w:r>
    </w:p>
    <w:p w14:paraId="3EF01461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 xml:space="preserve">Assadourian, Beato y Chiaramonte, </w:t>
      </w:r>
      <w:r w:rsidRPr="001C31EF">
        <w:rPr>
          <w:rFonts w:ascii="Times New Roman" w:hAnsi="Times New Roman"/>
          <w:i/>
        </w:rPr>
        <w:t>Argentina: De la conquista</w:t>
      </w:r>
      <w:r w:rsidRPr="001C31EF">
        <w:rPr>
          <w:rFonts w:ascii="Times New Roman" w:hAnsi="Times New Roman"/>
        </w:rPr>
        <w:t>…, 124.</w:t>
      </w:r>
    </w:p>
    <w:p w14:paraId="1B4AA0C9" w14:textId="77777777" w:rsidR="00DD6E62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Assadourian, Carlos Sempat, Guillermo Beato y José Carlos Chiaramonte. </w:t>
      </w:r>
      <w:r w:rsidRPr="001C31EF">
        <w:rPr>
          <w:rFonts w:ascii="Times New Roman" w:hAnsi="Times New Roman"/>
          <w:i/>
        </w:rPr>
        <w:t>Argentina: De la conquista a la independencia</w:t>
      </w:r>
      <w:r w:rsidRPr="001C31EF">
        <w:rPr>
          <w:rFonts w:ascii="Times New Roman" w:hAnsi="Times New Roman"/>
        </w:rPr>
        <w:t>. Vol. 2. Buenos Aires: Paidós, 1992.</w:t>
      </w:r>
    </w:p>
    <w:p w14:paraId="190706CE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Cuatro o más autores</w:t>
      </w:r>
    </w:p>
    <w:p w14:paraId="3D9CC0C3" w14:textId="77777777" w:rsidR="00211203" w:rsidRPr="001C31EF" w:rsidRDefault="00211203" w:rsidP="00E42D66">
      <w:pPr>
        <w:numPr>
          <w:ilvl w:val="0"/>
          <w:numId w:val="5"/>
        </w:num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  <w:color w:val="000000"/>
        </w:rPr>
        <w:t xml:space="preserve">Magdalena Bertino et al., </w:t>
      </w:r>
      <w:r w:rsidRPr="001C31EF">
        <w:rPr>
          <w:rFonts w:ascii="Times New Roman" w:hAnsi="Times New Roman"/>
          <w:i/>
          <w:color w:val="000000"/>
        </w:rPr>
        <w:t>La economía del primer batllismo y los años veinte. Auge y crisis del modelo agroexportador (1911-1930)</w:t>
      </w:r>
      <w:r w:rsidRPr="001C31EF">
        <w:rPr>
          <w:rFonts w:ascii="Times New Roman" w:hAnsi="Times New Roman"/>
          <w:color w:val="000000"/>
        </w:rPr>
        <w:t xml:space="preserve">, t. III de </w:t>
      </w:r>
      <w:r w:rsidRPr="001C31EF">
        <w:rPr>
          <w:rFonts w:ascii="Times New Roman" w:hAnsi="Times New Roman"/>
          <w:i/>
          <w:color w:val="000000"/>
        </w:rPr>
        <w:t>Historia Económica del Uruguay</w:t>
      </w:r>
      <w:r w:rsidRPr="001C31EF">
        <w:rPr>
          <w:rFonts w:ascii="Times New Roman" w:hAnsi="Times New Roman"/>
          <w:color w:val="000000"/>
        </w:rPr>
        <w:t xml:space="preserve"> (Montevideo: Fin de Siglo / Instituto de Economía, Universidad de la República / Banco Central del Uruguay / Banco República, 2005), 62.</w:t>
      </w:r>
    </w:p>
    <w:p w14:paraId="419BCDF5" w14:textId="77777777" w:rsidR="00EC5017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color w:val="000000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r w:rsidRPr="001C31EF">
        <w:rPr>
          <w:rFonts w:ascii="Times New Roman" w:hAnsi="Times New Roman"/>
          <w:color w:val="000000"/>
        </w:rPr>
        <w:t xml:space="preserve">Bertino, Magdalena, Reto Bertoni, Héctor Tajam y Jaime Yaffé. </w:t>
      </w:r>
      <w:r w:rsidRPr="001C31EF">
        <w:rPr>
          <w:rFonts w:ascii="Times New Roman" w:hAnsi="Times New Roman"/>
          <w:i/>
          <w:color w:val="000000"/>
        </w:rPr>
        <w:t>La economía del primer batllismo y los años veinte. Auge y crisis del modelo agroexportador (1911-1930)</w:t>
      </w:r>
      <w:r w:rsidRPr="001C31EF">
        <w:rPr>
          <w:rFonts w:ascii="Times New Roman" w:hAnsi="Times New Roman"/>
          <w:color w:val="000000"/>
        </w:rPr>
        <w:t xml:space="preserve">. T. III de </w:t>
      </w:r>
      <w:r w:rsidRPr="001C31EF">
        <w:rPr>
          <w:rFonts w:ascii="Times New Roman" w:hAnsi="Times New Roman"/>
          <w:i/>
          <w:color w:val="000000"/>
        </w:rPr>
        <w:t>Historia Económica del Uruguay</w:t>
      </w:r>
      <w:r w:rsidRPr="001C31EF">
        <w:rPr>
          <w:rFonts w:ascii="Times New Roman" w:hAnsi="Times New Roman"/>
          <w:color w:val="000000"/>
        </w:rPr>
        <w:t>. Montevideo: Fin de Siglo / Instituto de Economía, Universidad de la República / Banco Central del Uruguay / Banco República, 2005.</w:t>
      </w:r>
    </w:p>
    <w:p w14:paraId="0B776FD0" w14:textId="08183DB4" w:rsidR="005839C7" w:rsidRDefault="005839C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6355E61" w14:textId="63F6BB2C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  <w:r w:rsidRPr="003438A8">
        <w:rPr>
          <w:rFonts w:ascii="Times New Roman" w:hAnsi="Times New Roman"/>
          <w:b/>
          <w:i/>
        </w:rPr>
        <w:lastRenderedPageBreak/>
        <w:t>Artículos</w:t>
      </w:r>
    </w:p>
    <w:p w14:paraId="58728C39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Capítulo de libro</w:t>
      </w:r>
    </w:p>
    <w:p w14:paraId="3D7A5082" w14:textId="77777777" w:rsidR="00211203" w:rsidRPr="001C31EF" w:rsidRDefault="00211203" w:rsidP="00E42D66">
      <w:pPr>
        <w:numPr>
          <w:ilvl w:val="0"/>
          <w:numId w:val="6"/>
        </w:num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Alonso Valencia, “Importancia de Sucre en la historia de Colombia”. En </w:t>
      </w:r>
      <w:r w:rsidRPr="001C31EF">
        <w:rPr>
          <w:rFonts w:ascii="Times New Roman" w:hAnsi="Times New Roman"/>
          <w:i/>
        </w:rPr>
        <w:t>Sucre soldado y estadista</w:t>
      </w:r>
      <w:r w:rsidRPr="001C31EF">
        <w:rPr>
          <w:rFonts w:ascii="Times New Roman" w:hAnsi="Times New Roman"/>
        </w:rPr>
        <w:t>, ed. por Enrique Ayala Mora,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ed., 53-73. (Quito: Universidad Andina Simón Bolívar, Sede Ecuador / Corporación Editora Nacional, 2009), 164.</w:t>
      </w:r>
    </w:p>
    <w:p w14:paraId="186F50FD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>Valencia, “Importancia de Sucre…”, 280.</w:t>
      </w:r>
    </w:p>
    <w:p w14:paraId="0182B183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Valencia, Alonso. “Importancia de Sucre en la historia de Colombia”. En </w:t>
      </w:r>
      <w:r w:rsidRPr="001C31EF">
        <w:rPr>
          <w:rFonts w:ascii="Times New Roman" w:hAnsi="Times New Roman"/>
          <w:i/>
        </w:rPr>
        <w:t>Sucre soldado y estadista</w:t>
      </w:r>
      <w:r w:rsidRPr="001C31EF">
        <w:rPr>
          <w:rFonts w:ascii="Times New Roman" w:hAnsi="Times New Roman"/>
        </w:rPr>
        <w:t>, editado por Enrique Ayala Mora,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</w:t>
      </w:r>
      <w:r w:rsidR="00060E59" w:rsidRPr="001C31EF">
        <w:rPr>
          <w:rFonts w:ascii="Times New Roman" w:hAnsi="Times New Roman"/>
        </w:rPr>
        <w:t>,</w:t>
      </w:r>
      <w:r w:rsidRPr="001C31EF">
        <w:rPr>
          <w:rFonts w:ascii="Times New Roman" w:hAnsi="Times New Roman"/>
        </w:rPr>
        <w:t xml:space="preserve"> </w:t>
      </w:r>
      <w:r w:rsidR="00060E59" w:rsidRPr="001C31EF">
        <w:rPr>
          <w:rFonts w:ascii="Times New Roman" w:hAnsi="Times New Roman"/>
        </w:rPr>
        <w:t xml:space="preserve">53-73. </w:t>
      </w:r>
      <w:r w:rsidRPr="001C31EF">
        <w:rPr>
          <w:rFonts w:ascii="Times New Roman" w:hAnsi="Times New Roman"/>
        </w:rPr>
        <w:t>Quito: Universidad Andina Simón Bolívar, Sede Ecuador / Corporación Editora Nacional, 2009.</w:t>
      </w:r>
    </w:p>
    <w:p w14:paraId="0DE09987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Artículo de revista</w:t>
      </w:r>
    </w:p>
    <w:p w14:paraId="7C6E8697" w14:textId="77777777" w:rsidR="00211203" w:rsidRPr="001C31EF" w:rsidRDefault="00211203" w:rsidP="00E42D66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Daniel Gutiérrez Ardila, “El arrepentimiento de un revolucionario: José Manuel Restrepo en tiempos de la Reconquista (1816-1819)”, </w:t>
      </w:r>
      <w:r w:rsidRPr="001C31EF">
        <w:rPr>
          <w:rFonts w:ascii="Times New Roman" w:hAnsi="Times New Roman"/>
          <w:i/>
        </w:rPr>
        <w:t>Anuario Colombiano de Historia Social y de la Cultura</w:t>
      </w:r>
      <w:r w:rsidRPr="001C31EF">
        <w:rPr>
          <w:rFonts w:ascii="Times New Roman" w:hAnsi="Times New Roman"/>
        </w:rPr>
        <w:t xml:space="preserve"> 40,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2 (julio-diciembre 2013): 54-56.</w:t>
      </w:r>
    </w:p>
    <w:p w14:paraId="372E3D30" w14:textId="77777777" w:rsidR="00211203" w:rsidRPr="001C31EF" w:rsidRDefault="00211203" w:rsidP="00E42D66">
      <w:pPr>
        <w:spacing w:line="360" w:lineRule="auto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>Gutiérrez Ardila, “El arrepentimiento…”, 74.</w:t>
      </w:r>
    </w:p>
    <w:p w14:paraId="18AEA047" w14:textId="0C2DFD6F" w:rsidR="005839C7" w:rsidRDefault="00211203" w:rsidP="003F4D37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Gutiérrez Ardila, Daniel. “El arrepentimiento de un revolucionario: José Manuel Restrepo en tiempos de la Reconquista (1816-1819)”. </w:t>
      </w:r>
      <w:r w:rsidRPr="001C31EF">
        <w:rPr>
          <w:rFonts w:ascii="Times New Roman" w:hAnsi="Times New Roman"/>
          <w:i/>
        </w:rPr>
        <w:t>Anuario Colombiano de Historia Social y de la Cultura</w:t>
      </w:r>
      <w:r w:rsidRPr="001C31EF">
        <w:rPr>
          <w:rFonts w:ascii="Times New Roman" w:hAnsi="Times New Roman"/>
        </w:rPr>
        <w:t xml:space="preserve"> 40,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2 (julio-diciembre 2013): 49-76.</w:t>
      </w:r>
    </w:p>
    <w:p w14:paraId="7E478F8B" w14:textId="77777777" w:rsidR="005839C7" w:rsidRPr="001C31EF" w:rsidRDefault="005839C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</w:p>
    <w:p w14:paraId="4806655F" w14:textId="77777777" w:rsidR="00211203" w:rsidRPr="003438A8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b/>
        </w:rPr>
      </w:pPr>
      <w:r w:rsidRPr="003438A8">
        <w:rPr>
          <w:rFonts w:ascii="Times New Roman" w:hAnsi="Times New Roman"/>
          <w:b/>
          <w:i/>
        </w:rPr>
        <w:t>Publicaciones obtenidas de Internet (con referencia DOI)</w:t>
      </w:r>
    </w:p>
    <w:p w14:paraId="386BB5BE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  <w:t xml:space="preserve">Nicolás Quiroga, “Blogs de historia: usos y posibilidades”,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43 (ene.-abr. 2011): 73, doi:10.7440/histcrit43.2011.05.</w:t>
      </w:r>
    </w:p>
    <w:p w14:paraId="172817C3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(B) </w:t>
      </w:r>
      <w:r w:rsidRPr="001C31EF">
        <w:rPr>
          <w:rFonts w:ascii="Times New Roman" w:hAnsi="Times New Roman"/>
        </w:rPr>
        <w:tab/>
        <w:t xml:space="preserve">Quiroga, Nicolás. “Blogs de historia: usos y posibilidades”,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43 (ene.-abr. 2011): 62-80, doi:10.7440/histcrit43.2011.05.</w:t>
      </w:r>
    </w:p>
    <w:p w14:paraId="3F537248" w14:textId="77777777" w:rsidR="00290568" w:rsidRDefault="0029056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2426D0B6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Publicaciones obtenidas de Internet (con referencia URL)</w:t>
      </w:r>
    </w:p>
    <w:p w14:paraId="0021918A" w14:textId="61F7FD7D" w:rsidR="00211203" w:rsidRPr="001C31EF" w:rsidRDefault="00EC501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(N) </w:t>
      </w:r>
      <w:r w:rsidRPr="001C31EF">
        <w:rPr>
          <w:rFonts w:ascii="Times New Roman" w:hAnsi="Times New Roman"/>
        </w:rPr>
        <w:tab/>
        <w:t>Amy Taxin</w:t>
      </w:r>
      <w:r w:rsidR="00211203" w:rsidRPr="001C31EF">
        <w:rPr>
          <w:rFonts w:ascii="Times New Roman" w:hAnsi="Times New Roman"/>
        </w:rPr>
        <w:t xml:space="preserve">, “La participación de la mujer en la Independencia: el caso de Manuela Sáenz”, </w:t>
      </w:r>
      <w:r w:rsidR="00211203" w:rsidRPr="001C31EF">
        <w:rPr>
          <w:rFonts w:ascii="Times New Roman" w:hAnsi="Times New Roman"/>
          <w:i/>
        </w:rPr>
        <w:t>Procesos: revista ecuatoriana de historia</w:t>
      </w:r>
      <w:r w:rsidR="00211203" w:rsidRPr="001C31EF">
        <w:rPr>
          <w:rFonts w:ascii="Times New Roman" w:hAnsi="Times New Roman"/>
        </w:rPr>
        <w:t>, n.</w:t>
      </w:r>
      <w:r w:rsidR="00211203" w:rsidRPr="001C31EF">
        <w:rPr>
          <w:rFonts w:ascii="Times New Roman" w:hAnsi="Times New Roman"/>
          <w:vertAlign w:val="superscript"/>
        </w:rPr>
        <w:t>o</w:t>
      </w:r>
      <w:r w:rsidR="00211203" w:rsidRPr="001C31EF">
        <w:rPr>
          <w:rFonts w:ascii="Times New Roman" w:hAnsi="Times New Roman"/>
        </w:rPr>
        <w:t xml:space="preserve"> 14 (1999): 86, </w:t>
      </w:r>
      <w:r w:rsidR="00795513" w:rsidRPr="00795513">
        <w:rPr>
          <w:rFonts w:ascii="Times New Roman" w:hAnsi="Times New Roman"/>
        </w:rPr>
        <w:t>http://revistaprocesos.ec/ojs/index.php/ojs/article/view/323/390</w:t>
      </w:r>
      <w:r w:rsidR="003F67CB">
        <w:rPr>
          <w:rFonts w:ascii="Times New Roman" w:hAnsi="Times New Roman"/>
        </w:rPr>
        <w:t>.</w:t>
      </w:r>
    </w:p>
    <w:p w14:paraId="22D9102F" w14:textId="29F9FFB3" w:rsidR="00EC5017" w:rsidRPr="00795513" w:rsidRDefault="00EC501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>Taxin</w:t>
      </w:r>
      <w:r w:rsidR="00211203" w:rsidRPr="001C31EF">
        <w:rPr>
          <w:rFonts w:ascii="Times New Roman" w:hAnsi="Times New Roman"/>
        </w:rPr>
        <w:t xml:space="preserve">, Amy. “La participación de la mujer en la Independencia: el caso de Manuela Sáenz”. </w:t>
      </w:r>
      <w:r w:rsidR="00795513" w:rsidRPr="00795513">
        <w:rPr>
          <w:rFonts w:ascii="Times New Roman" w:hAnsi="Times New Roman"/>
        </w:rPr>
        <w:t>http://revistaprocesos.ec/ojs/index.php/ojs/article/view/323/390</w:t>
      </w:r>
      <w:r w:rsidR="003F67CB">
        <w:rPr>
          <w:rFonts w:ascii="Times New Roman" w:hAnsi="Times New Roman"/>
        </w:rPr>
        <w:t>.</w:t>
      </w:r>
    </w:p>
    <w:p w14:paraId="284A23FD" w14:textId="5565C379" w:rsidR="00290568" w:rsidRDefault="0029056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3C08E635" w14:textId="16B62DD9" w:rsidR="003438A8" w:rsidRDefault="003438A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6098A56" w14:textId="77777777" w:rsidR="003438A8" w:rsidRDefault="003438A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7C4EA5A0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lastRenderedPageBreak/>
        <w:t>Artículos de prensa (con firma de autor)</w:t>
      </w:r>
    </w:p>
    <w:p w14:paraId="7034EF72" w14:textId="77777777" w:rsidR="00211203" w:rsidRPr="001C31EF" w:rsidRDefault="00211203" w:rsidP="00E42D66">
      <w:pPr>
        <w:numPr>
          <w:ilvl w:val="0"/>
          <w:numId w:val="8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Luciano Andrade Marín, “El remiendo en el cuartel de los Limeños”, </w:t>
      </w:r>
      <w:r w:rsidRPr="001C31EF">
        <w:rPr>
          <w:rFonts w:ascii="Times New Roman" w:hAnsi="Times New Roman"/>
          <w:i/>
        </w:rPr>
        <w:t>El Comercio</w:t>
      </w:r>
      <w:r w:rsidRPr="001C31EF">
        <w:rPr>
          <w:rFonts w:ascii="Times New Roman" w:hAnsi="Times New Roman"/>
        </w:rPr>
        <w:t>, 1 de junio de 1964: 4.</w:t>
      </w:r>
    </w:p>
    <w:p w14:paraId="39D2E03A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Andrade Marín, Luciano. “El remiendo en el cuartel de los Limeños”. </w:t>
      </w:r>
      <w:r w:rsidRPr="001C31EF">
        <w:rPr>
          <w:rFonts w:ascii="Times New Roman" w:hAnsi="Times New Roman"/>
          <w:i/>
        </w:rPr>
        <w:t>El Comercio</w:t>
      </w:r>
      <w:r w:rsidRPr="001C31EF">
        <w:rPr>
          <w:rFonts w:ascii="Times New Roman" w:hAnsi="Times New Roman"/>
        </w:rPr>
        <w:t>. 1 de junio de 1964, 4.</w:t>
      </w:r>
    </w:p>
    <w:p w14:paraId="69F0D5A1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740630B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Artículos de prensa (sin firma de autor)</w:t>
      </w:r>
    </w:p>
    <w:p w14:paraId="5C2489DE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  <w:t xml:space="preserve"> “La cuestión muelle de Guayaquil”, </w:t>
      </w:r>
      <w:r w:rsidRPr="001C31EF">
        <w:rPr>
          <w:rFonts w:ascii="Times New Roman" w:hAnsi="Times New Roman"/>
          <w:i/>
        </w:rPr>
        <w:t>El Telégrafo</w:t>
      </w:r>
      <w:r w:rsidRPr="001C31EF">
        <w:rPr>
          <w:rFonts w:ascii="Times New Roman" w:hAnsi="Times New Roman"/>
        </w:rPr>
        <w:t>, 28 de septiembre de 1920: 1.</w:t>
      </w:r>
    </w:p>
    <w:p w14:paraId="00C9E092" w14:textId="77777777" w:rsidR="00DD6E62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vertAlign w:val="superscript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r w:rsidRPr="001C31EF">
        <w:rPr>
          <w:rFonts w:ascii="Times New Roman" w:hAnsi="Times New Roman"/>
          <w:i/>
        </w:rPr>
        <w:t>El Telégrafo</w:t>
      </w:r>
      <w:r w:rsidRPr="001C31EF">
        <w:rPr>
          <w:rFonts w:ascii="Times New Roman" w:hAnsi="Times New Roman"/>
        </w:rPr>
        <w:t>. “La cuestión muelle de Guayaquil”. 28 de septiembre de 1920: 1.</w:t>
      </w:r>
    </w:p>
    <w:p w14:paraId="727288A2" w14:textId="77777777" w:rsidR="00E42D66" w:rsidRPr="001C31EF" w:rsidRDefault="00E42D66" w:rsidP="00E42D66">
      <w:pPr>
        <w:spacing w:line="360" w:lineRule="auto"/>
        <w:contextualSpacing/>
        <w:jc w:val="both"/>
        <w:rPr>
          <w:rFonts w:ascii="Times New Roman" w:hAnsi="Times New Roman"/>
          <w:vertAlign w:val="superscript"/>
        </w:rPr>
      </w:pPr>
    </w:p>
    <w:p w14:paraId="5FD45148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Tesis y documentos inéditos</w:t>
      </w:r>
    </w:p>
    <w:p w14:paraId="6F3F2898" w14:textId="77777777" w:rsidR="00211203" w:rsidRPr="001C31EF" w:rsidRDefault="00211203" w:rsidP="00E42D66">
      <w:pPr>
        <w:spacing w:line="360" w:lineRule="auto"/>
        <w:ind w:left="709" w:hanging="709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(N) </w:t>
      </w:r>
      <w:r w:rsidRPr="001C31EF">
        <w:rPr>
          <w:rFonts w:ascii="Times New Roman" w:hAnsi="Times New Roman"/>
        </w:rPr>
        <w:tab/>
        <w:t>Rocío Rueda Novoa, “De esclavizados a comuneros en la cuenca aurífera del Río Santiago - Río Cayapas (Esmeraldas). Etnicidad negra en construcció</w:t>
      </w:r>
      <w:r w:rsidR="00412DCA">
        <w:rPr>
          <w:rFonts w:ascii="Times New Roman" w:hAnsi="Times New Roman"/>
        </w:rPr>
        <w:t>n en Ecuador siglos XVIII- XIX”</w:t>
      </w:r>
      <w:r w:rsidRPr="001C31EF">
        <w:rPr>
          <w:rFonts w:ascii="Times New Roman" w:hAnsi="Times New Roman"/>
        </w:rPr>
        <w:t xml:space="preserve"> (tesis de doctorado, Universidad Andina Simón Bolívar, Sede Ecuador, 2010), 30, http://repositorio.uasb.edu.ec/bitstream/10644/2815/1/TD011-DH-Rueda-De%20esclavizados.pdf.</w:t>
      </w:r>
    </w:p>
    <w:p w14:paraId="65054F92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>Rueda Novoa, Rocío. “De esclavizados a comuneros en la cuenca aurífera del Río Santiago - Río Cayapas (Esmeraldas). Etnicidad negra en construcción en Ecuador siglos XVIII- XIX”. Tesis de doctorado. Universidad Andina Simón Bolívar, Sede Ecuador. 2010. http://repositorio.uasb.edu.ec/bitstream/10644/2815/1/TD011-DH-Rueda-De%20esclavizados.pdf.</w:t>
      </w:r>
    </w:p>
    <w:p w14:paraId="17CA73BA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4CC65852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Entrevistas publicadas</w:t>
      </w:r>
    </w:p>
    <w:p w14:paraId="70373301" w14:textId="4062D08C" w:rsidR="00211203" w:rsidRPr="001C31EF" w:rsidRDefault="00211203" w:rsidP="00E42D66">
      <w:pPr>
        <w:numPr>
          <w:ilvl w:val="0"/>
          <w:numId w:val="9"/>
        </w:numPr>
        <w:spacing w:line="360" w:lineRule="auto"/>
        <w:ind w:hanging="720"/>
        <w:jc w:val="both"/>
        <w:rPr>
          <w:rFonts w:ascii="Times New Roman" w:eastAsia="Times New Roman" w:hAnsi="Times New Roman"/>
        </w:rPr>
      </w:pPr>
      <w:r w:rsidRPr="001C31EF">
        <w:rPr>
          <w:rFonts w:ascii="Times New Roman" w:hAnsi="Times New Roman"/>
        </w:rPr>
        <w:t xml:space="preserve">François Hartog, entrevistado por Renán Silva,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</w:t>
      </w:r>
      <w:r w:rsidR="005576F9">
        <w:rPr>
          <w:rFonts w:ascii="Times New Roman" w:hAnsi="Times New Roman"/>
        </w:rPr>
        <w:t>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48, (sep.-dic. 2012): 209.</w:t>
      </w:r>
    </w:p>
    <w:p w14:paraId="10AC98D0" w14:textId="73E2018F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Hartog, François. Entrevistado por Renán Silva.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</w:t>
      </w:r>
      <w:r w:rsidR="005576F9">
        <w:rPr>
          <w:rFonts w:ascii="Times New Roman" w:hAnsi="Times New Roman"/>
        </w:rPr>
        <w:t>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48, (sep.-dic. 2012): 208-214.</w:t>
      </w:r>
    </w:p>
    <w:p w14:paraId="486F2952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B910CBF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Comunicaciones personales</w:t>
      </w:r>
    </w:p>
    <w:p w14:paraId="36A2F30C" w14:textId="77777777" w:rsidR="00211203" w:rsidRPr="001C31EF" w:rsidRDefault="00211203" w:rsidP="00E42D66">
      <w:pPr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Frank Salomon (docente de la Universidad de Winsconsin, Madison), en conversación con el autor, junio de 2013.</w:t>
      </w:r>
    </w:p>
    <w:p w14:paraId="2EF0A743" w14:textId="3B01799E" w:rsidR="00E42D66" w:rsidRDefault="00E42D66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42A386CD" w14:textId="5DE30F89" w:rsidR="003438A8" w:rsidRDefault="003438A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AD7D6B4" w14:textId="77777777" w:rsidR="003438A8" w:rsidRPr="001C31EF" w:rsidRDefault="003438A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1CDB49C5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lastRenderedPageBreak/>
        <w:t>Fuentes inéditas de archivo</w:t>
      </w:r>
    </w:p>
    <w:p w14:paraId="23A9D054" w14:textId="1935EF0A" w:rsidR="00211203" w:rsidRPr="001C31EF" w:rsidRDefault="00211203" w:rsidP="00E42D66">
      <w:pPr>
        <w:numPr>
          <w:ilvl w:val="0"/>
          <w:numId w:val="11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José Gabriel Pérez, “Informe al Mariscal Antonio José de Sucre, Yntendente del departamento de Quito”, Guayaquil, 29 de julio de 1822</w:t>
      </w:r>
      <w:r w:rsidR="003F4D37">
        <w:rPr>
          <w:rFonts w:ascii="Times New Roman" w:hAnsi="Times New Roman"/>
        </w:rPr>
        <w:t>.</w:t>
      </w:r>
      <w:r w:rsidRPr="001C31EF">
        <w:rPr>
          <w:rFonts w:ascii="Times New Roman" w:hAnsi="Times New Roman"/>
        </w:rPr>
        <w:t xml:space="preserve"> Archivo Nacional del Ecuador (ANE), fondo </w:t>
      </w:r>
      <w:r w:rsidRPr="001C31EF">
        <w:rPr>
          <w:rFonts w:ascii="Times New Roman" w:hAnsi="Times New Roman"/>
          <w:i/>
        </w:rPr>
        <w:t>Presidencia de Quito</w:t>
      </w:r>
      <w:r w:rsidRPr="001C31EF">
        <w:rPr>
          <w:rFonts w:ascii="Times New Roman" w:hAnsi="Times New Roman"/>
        </w:rPr>
        <w:t xml:space="preserve">, caja 595, ff. 28-33. </w:t>
      </w:r>
    </w:p>
    <w:p w14:paraId="0102BE70" w14:textId="77777777" w:rsidR="00A82AFC" w:rsidRPr="001C31EF" w:rsidRDefault="00A82AFC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1508CE0" w14:textId="77777777" w:rsidR="00211203" w:rsidRPr="003438A8" w:rsidRDefault="00211203" w:rsidP="00E42D66">
      <w:pPr>
        <w:spacing w:line="360" w:lineRule="auto"/>
        <w:contextualSpacing/>
        <w:jc w:val="both"/>
        <w:rPr>
          <w:rFonts w:ascii="Times New Roman" w:hAnsi="Times New Roman"/>
          <w:b/>
          <w:i/>
        </w:rPr>
      </w:pPr>
      <w:r w:rsidRPr="003438A8">
        <w:rPr>
          <w:rFonts w:ascii="Times New Roman" w:hAnsi="Times New Roman"/>
          <w:b/>
          <w:i/>
        </w:rPr>
        <w:t>Archivos consultados</w:t>
      </w:r>
    </w:p>
    <w:p w14:paraId="6A39646F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Deben presentarse al final del artículo, antes de la bibliografía consultada: </w:t>
      </w:r>
    </w:p>
    <w:p w14:paraId="3C672FA1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Archivo Nacional del Ecuador</w:t>
      </w:r>
      <w:r w:rsidR="00EC5017" w:rsidRPr="001C31EF">
        <w:rPr>
          <w:rFonts w:ascii="Times New Roman" w:hAnsi="Times New Roman"/>
        </w:rPr>
        <w:t xml:space="preserve"> (ANE)</w:t>
      </w:r>
    </w:p>
    <w:p w14:paraId="5D9B1006" w14:textId="77777777" w:rsidR="00211203" w:rsidRPr="001C31EF" w:rsidRDefault="00211203" w:rsidP="00E42D66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Fondo Presidencia de Quito</w:t>
      </w:r>
    </w:p>
    <w:p w14:paraId="20C29C89" w14:textId="77777777" w:rsidR="00211203" w:rsidRPr="001C31EF" w:rsidRDefault="00211203" w:rsidP="00E42D66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Fondo Notarial</w:t>
      </w:r>
    </w:p>
    <w:p w14:paraId="64FBEBE4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Archivo Metropolitano de Historia de Quito</w:t>
      </w:r>
      <w:r w:rsidR="00EC5017" w:rsidRPr="001C31EF">
        <w:rPr>
          <w:rFonts w:ascii="Times New Roman" w:hAnsi="Times New Roman"/>
        </w:rPr>
        <w:t xml:space="preserve"> (AMHQ)</w:t>
      </w:r>
    </w:p>
    <w:p w14:paraId="2F95658B" w14:textId="1E4D52C6" w:rsidR="00211203" w:rsidRPr="001C31EF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Sección Secretaría Municipal</w:t>
      </w:r>
    </w:p>
    <w:p w14:paraId="11654590" w14:textId="176D3C84" w:rsidR="00211203" w:rsidRPr="00DD6E62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Sección Sindicatura o Procuraduría</w:t>
      </w:r>
    </w:p>
    <w:sectPr w:rsidR="00211203" w:rsidRPr="00DD6E62" w:rsidSect="005839C7"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E0B0" w14:textId="77777777" w:rsidR="005163C4" w:rsidRDefault="005163C4" w:rsidP="002B543D">
      <w:r>
        <w:separator/>
      </w:r>
    </w:p>
  </w:endnote>
  <w:endnote w:type="continuationSeparator" w:id="0">
    <w:p w14:paraId="16B2EB34" w14:textId="77777777" w:rsidR="005163C4" w:rsidRDefault="005163C4" w:rsidP="002B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DA13" w14:textId="77777777" w:rsidR="00EC5017" w:rsidRDefault="00EC5017" w:rsidP="00DD6E6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BCEA5C" w14:textId="77777777" w:rsidR="00EC5017" w:rsidRDefault="00EC5017" w:rsidP="002B54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71DB" w14:textId="4D7AE788" w:rsidR="00EC5017" w:rsidRDefault="00EC5017" w:rsidP="00DD6E6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17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687A285" w14:textId="77777777" w:rsidR="00EC5017" w:rsidRDefault="00EC5017" w:rsidP="002B54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4768" w14:textId="77777777" w:rsidR="005163C4" w:rsidRDefault="005163C4" w:rsidP="002B543D">
      <w:r>
        <w:separator/>
      </w:r>
    </w:p>
  </w:footnote>
  <w:footnote w:type="continuationSeparator" w:id="0">
    <w:p w14:paraId="14A119C8" w14:textId="77777777" w:rsidR="005163C4" w:rsidRDefault="005163C4" w:rsidP="002B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43C5" w14:textId="36AF8205" w:rsidR="003438A8" w:rsidRDefault="0002317D" w:rsidP="0002317D">
    <w:pPr>
      <w:pStyle w:val="Encabezado"/>
    </w:pPr>
    <w:r>
      <w:rPr>
        <w:noProof/>
        <w:lang w:val="es-EC" w:eastAsia="es-EC"/>
      </w:rPr>
      <w:drawing>
        <wp:inline distT="0" distB="0" distL="0" distR="0" wp14:anchorId="061BCD24" wp14:editId="739990F4">
          <wp:extent cx="1524000" cy="990600"/>
          <wp:effectExtent l="0" t="0" r="0" b="0"/>
          <wp:docPr id="1" name="Imagen 1" descr="C:\Users\korquera\Pictures\Procesos\120727LogoProcesosActualiz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orquera\Pictures\Procesos\120727LogoProcesosActuali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2B"/>
    <w:multiLevelType w:val="hybridMultilevel"/>
    <w:tmpl w:val="D20A7054"/>
    <w:lvl w:ilvl="0" w:tplc="B4665B18">
      <w:start w:val="14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2CF0"/>
    <w:multiLevelType w:val="hybridMultilevel"/>
    <w:tmpl w:val="2EFA7D56"/>
    <w:lvl w:ilvl="0" w:tplc="702847AE">
      <w:start w:val="14"/>
      <w:numFmt w:val="upperLetter"/>
      <w:lvlText w:val="(%1)"/>
      <w:lvlJc w:val="left"/>
      <w:pPr>
        <w:ind w:left="5676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6396" w:hanging="360"/>
      </w:pPr>
    </w:lvl>
    <w:lvl w:ilvl="2" w:tplc="0C0A001B" w:tentative="1">
      <w:start w:val="1"/>
      <w:numFmt w:val="lowerRoman"/>
      <w:lvlText w:val="%3."/>
      <w:lvlJc w:val="right"/>
      <w:pPr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0B060923"/>
    <w:multiLevelType w:val="hybridMultilevel"/>
    <w:tmpl w:val="081A2DC6"/>
    <w:lvl w:ilvl="0" w:tplc="5CF469FA">
      <w:start w:val="14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574B7"/>
    <w:multiLevelType w:val="hybridMultilevel"/>
    <w:tmpl w:val="C5D61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59B3"/>
    <w:multiLevelType w:val="hybridMultilevel"/>
    <w:tmpl w:val="FA04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D2C"/>
    <w:multiLevelType w:val="hybridMultilevel"/>
    <w:tmpl w:val="F61E8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24A"/>
    <w:multiLevelType w:val="hybridMultilevel"/>
    <w:tmpl w:val="0E4C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7433"/>
    <w:multiLevelType w:val="hybridMultilevel"/>
    <w:tmpl w:val="005C28BC"/>
    <w:lvl w:ilvl="0" w:tplc="1AA6C404">
      <w:start w:val="14"/>
      <w:numFmt w:val="upperLetter"/>
      <w:lvlText w:val="(%1)"/>
      <w:lvlJc w:val="left"/>
      <w:pPr>
        <w:ind w:left="720" w:hanging="360"/>
      </w:pPr>
      <w:rPr>
        <w:rFonts w:eastAsia="MS Mincho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0D87"/>
    <w:multiLevelType w:val="hybridMultilevel"/>
    <w:tmpl w:val="77AA4E64"/>
    <w:lvl w:ilvl="0" w:tplc="A00EA120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E14"/>
    <w:multiLevelType w:val="hybridMultilevel"/>
    <w:tmpl w:val="7736C550"/>
    <w:lvl w:ilvl="0" w:tplc="CAC43DE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1059"/>
    <w:multiLevelType w:val="hybridMultilevel"/>
    <w:tmpl w:val="C714DA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0A2C"/>
    <w:multiLevelType w:val="hybridMultilevel"/>
    <w:tmpl w:val="2236C634"/>
    <w:lvl w:ilvl="0" w:tplc="86CA9E3E">
      <w:start w:val="1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3351"/>
    <w:multiLevelType w:val="hybridMultilevel"/>
    <w:tmpl w:val="0DA01A90"/>
    <w:lvl w:ilvl="0" w:tplc="6EE6FF12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504E"/>
    <w:multiLevelType w:val="hybridMultilevel"/>
    <w:tmpl w:val="1AD6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2203"/>
    <w:multiLevelType w:val="hybridMultilevel"/>
    <w:tmpl w:val="60AC026E"/>
    <w:lvl w:ilvl="0" w:tplc="B2C84620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86"/>
    <w:rsid w:val="00004D3B"/>
    <w:rsid w:val="00012189"/>
    <w:rsid w:val="0002317D"/>
    <w:rsid w:val="00041586"/>
    <w:rsid w:val="00042C66"/>
    <w:rsid w:val="00045938"/>
    <w:rsid w:val="00047F10"/>
    <w:rsid w:val="00060E59"/>
    <w:rsid w:val="000756AD"/>
    <w:rsid w:val="000852AE"/>
    <w:rsid w:val="000920B4"/>
    <w:rsid w:val="000C4FDE"/>
    <w:rsid w:val="0010539A"/>
    <w:rsid w:val="001438ED"/>
    <w:rsid w:val="00154155"/>
    <w:rsid w:val="00160631"/>
    <w:rsid w:val="001815A9"/>
    <w:rsid w:val="001B0B53"/>
    <w:rsid w:val="001C31EF"/>
    <w:rsid w:val="001D0EF1"/>
    <w:rsid w:val="001D3877"/>
    <w:rsid w:val="00201352"/>
    <w:rsid w:val="00211203"/>
    <w:rsid w:val="00212088"/>
    <w:rsid w:val="00272211"/>
    <w:rsid w:val="0028480A"/>
    <w:rsid w:val="00290568"/>
    <w:rsid w:val="002B543D"/>
    <w:rsid w:val="002C2CB0"/>
    <w:rsid w:val="002D2821"/>
    <w:rsid w:val="002D52CD"/>
    <w:rsid w:val="002D5F2A"/>
    <w:rsid w:val="002D64DB"/>
    <w:rsid w:val="002F1783"/>
    <w:rsid w:val="00321BD0"/>
    <w:rsid w:val="003438A8"/>
    <w:rsid w:val="00362126"/>
    <w:rsid w:val="003662FC"/>
    <w:rsid w:val="00386E13"/>
    <w:rsid w:val="003B75F2"/>
    <w:rsid w:val="003E0C63"/>
    <w:rsid w:val="003F4D37"/>
    <w:rsid w:val="003F67CB"/>
    <w:rsid w:val="004043DD"/>
    <w:rsid w:val="00407E6C"/>
    <w:rsid w:val="00412DCA"/>
    <w:rsid w:val="004229A9"/>
    <w:rsid w:val="00424138"/>
    <w:rsid w:val="00432326"/>
    <w:rsid w:val="00440FBC"/>
    <w:rsid w:val="004534DF"/>
    <w:rsid w:val="00466016"/>
    <w:rsid w:val="004664DE"/>
    <w:rsid w:val="004A6E99"/>
    <w:rsid w:val="004D5D1A"/>
    <w:rsid w:val="0050710D"/>
    <w:rsid w:val="005163C4"/>
    <w:rsid w:val="00520247"/>
    <w:rsid w:val="0052452B"/>
    <w:rsid w:val="00526C30"/>
    <w:rsid w:val="00530400"/>
    <w:rsid w:val="005403B1"/>
    <w:rsid w:val="00544A6F"/>
    <w:rsid w:val="0055188A"/>
    <w:rsid w:val="005544A8"/>
    <w:rsid w:val="00555E7F"/>
    <w:rsid w:val="005576F9"/>
    <w:rsid w:val="0057050B"/>
    <w:rsid w:val="005839C7"/>
    <w:rsid w:val="00594C46"/>
    <w:rsid w:val="005A514B"/>
    <w:rsid w:val="005F4B7A"/>
    <w:rsid w:val="00621BE0"/>
    <w:rsid w:val="00625836"/>
    <w:rsid w:val="006272F0"/>
    <w:rsid w:val="00630AD3"/>
    <w:rsid w:val="00686EA9"/>
    <w:rsid w:val="00687E3F"/>
    <w:rsid w:val="006A27E9"/>
    <w:rsid w:val="006C2018"/>
    <w:rsid w:val="006E2413"/>
    <w:rsid w:val="006E5F72"/>
    <w:rsid w:val="006E77F1"/>
    <w:rsid w:val="00727752"/>
    <w:rsid w:val="00754759"/>
    <w:rsid w:val="00782AC0"/>
    <w:rsid w:val="00795513"/>
    <w:rsid w:val="007B69AA"/>
    <w:rsid w:val="00815566"/>
    <w:rsid w:val="008345A9"/>
    <w:rsid w:val="00861CD8"/>
    <w:rsid w:val="00894517"/>
    <w:rsid w:val="008C1060"/>
    <w:rsid w:val="008F570F"/>
    <w:rsid w:val="00901734"/>
    <w:rsid w:val="00902623"/>
    <w:rsid w:val="0094750C"/>
    <w:rsid w:val="00947A1B"/>
    <w:rsid w:val="00950425"/>
    <w:rsid w:val="009856F5"/>
    <w:rsid w:val="009920E5"/>
    <w:rsid w:val="00994C12"/>
    <w:rsid w:val="009C3FDD"/>
    <w:rsid w:val="009D451F"/>
    <w:rsid w:val="009D5A37"/>
    <w:rsid w:val="00A125FC"/>
    <w:rsid w:val="00A230E4"/>
    <w:rsid w:val="00A6281E"/>
    <w:rsid w:val="00A82AFC"/>
    <w:rsid w:val="00AA070D"/>
    <w:rsid w:val="00AC7281"/>
    <w:rsid w:val="00AD4897"/>
    <w:rsid w:val="00B125B2"/>
    <w:rsid w:val="00B271A0"/>
    <w:rsid w:val="00B3300E"/>
    <w:rsid w:val="00B75230"/>
    <w:rsid w:val="00B76EF3"/>
    <w:rsid w:val="00BA213F"/>
    <w:rsid w:val="00BC5A15"/>
    <w:rsid w:val="00BD039C"/>
    <w:rsid w:val="00BE3794"/>
    <w:rsid w:val="00C06643"/>
    <w:rsid w:val="00C112A0"/>
    <w:rsid w:val="00C35099"/>
    <w:rsid w:val="00C50DA0"/>
    <w:rsid w:val="00C55A2A"/>
    <w:rsid w:val="00C60CCF"/>
    <w:rsid w:val="00C63957"/>
    <w:rsid w:val="00C81463"/>
    <w:rsid w:val="00C87008"/>
    <w:rsid w:val="00CB0F66"/>
    <w:rsid w:val="00D67D10"/>
    <w:rsid w:val="00D81CED"/>
    <w:rsid w:val="00DA26A8"/>
    <w:rsid w:val="00DC7ED9"/>
    <w:rsid w:val="00DD2877"/>
    <w:rsid w:val="00DD6E62"/>
    <w:rsid w:val="00E42D66"/>
    <w:rsid w:val="00E52040"/>
    <w:rsid w:val="00E627B6"/>
    <w:rsid w:val="00E815BC"/>
    <w:rsid w:val="00E92127"/>
    <w:rsid w:val="00E93038"/>
    <w:rsid w:val="00E94148"/>
    <w:rsid w:val="00EB0D79"/>
    <w:rsid w:val="00EC5017"/>
    <w:rsid w:val="00ED7925"/>
    <w:rsid w:val="00EF62C9"/>
    <w:rsid w:val="00F45B4B"/>
    <w:rsid w:val="00F53C97"/>
    <w:rsid w:val="00F60D69"/>
    <w:rsid w:val="00F61DB9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A01C19"/>
  <w14:defaultImageDpi w14:val="300"/>
  <w15:docId w15:val="{AF9C1900-971E-B449-8F42-6CA8DF5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8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158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B54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543D"/>
    <w:rPr>
      <w:rFonts w:eastAsia="MS Mincho"/>
      <w:sz w:val="24"/>
      <w:szCs w:val="24"/>
    </w:rPr>
  </w:style>
  <w:style w:type="character" w:styleId="Nmerodepgina">
    <w:name w:val="page number"/>
    <w:uiPriority w:val="99"/>
    <w:semiHidden/>
    <w:unhideWhenUsed/>
    <w:rsid w:val="002B543D"/>
  </w:style>
  <w:style w:type="character" w:styleId="Hipervnculovisitado">
    <w:name w:val="FollowedHyperlink"/>
    <w:uiPriority w:val="99"/>
    <w:semiHidden/>
    <w:unhideWhenUsed/>
    <w:rsid w:val="00ED7925"/>
    <w:rPr>
      <w:color w:val="800080"/>
      <w:u w:val="single"/>
    </w:rPr>
  </w:style>
  <w:style w:type="character" w:styleId="Ttulodellibro">
    <w:name w:val="Book Title"/>
    <w:uiPriority w:val="33"/>
    <w:qFormat/>
    <w:rsid w:val="00211203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57050B"/>
  </w:style>
  <w:style w:type="character" w:customStyle="1" w:styleId="TextonotapieCar">
    <w:name w:val="Texto nota pie Car"/>
    <w:link w:val="Textonotapie"/>
    <w:uiPriority w:val="99"/>
    <w:rsid w:val="0057050B"/>
    <w:rPr>
      <w:rFonts w:eastAsia="MS Mincho"/>
      <w:sz w:val="24"/>
      <w:szCs w:val="24"/>
    </w:rPr>
  </w:style>
  <w:style w:type="character" w:styleId="Refdenotaalpie">
    <w:name w:val="footnote reference"/>
    <w:uiPriority w:val="99"/>
    <w:unhideWhenUsed/>
    <w:rsid w:val="0057050B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45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A8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4B7A80C-8368-4A0C-91C0-45FF3FC7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Paulina Vasquez</cp:lastModifiedBy>
  <cp:revision>6</cp:revision>
  <cp:lastPrinted>2016-01-18T16:58:00Z</cp:lastPrinted>
  <dcterms:created xsi:type="dcterms:W3CDTF">2016-05-04T14:57:00Z</dcterms:created>
  <dcterms:modified xsi:type="dcterms:W3CDTF">2021-03-01T18:54:00Z</dcterms:modified>
</cp:coreProperties>
</file>